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679" w:rsidRPr="00F85679" w:rsidRDefault="00F85679" w:rsidP="00F85679">
      <w:pPr>
        <w:spacing w:after="0" w:line="435" w:lineRule="atLeast"/>
        <w:jc w:val="center"/>
        <w:textAlignment w:val="baseline"/>
        <w:rPr>
          <w:rFonts w:ascii="Arial" w:eastAsia="Times New Roman" w:hAnsi="Arial" w:cs="Arial"/>
          <w:color w:val="000000"/>
          <w:sz w:val="23"/>
          <w:szCs w:val="23"/>
          <w:lang w:eastAsia="it-IT"/>
        </w:rPr>
      </w:pPr>
      <w:proofErr w:type="gramStart"/>
      <w:r w:rsidRPr="00F85679">
        <w:rPr>
          <w:rFonts w:ascii="Arial" w:eastAsia="Times New Roman" w:hAnsi="Arial" w:cs="Arial"/>
          <w:b/>
          <w:bCs/>
          <w:color w:val="000000"/>
          <w:sz w:val="23"/>
          <w:szCs w:val="23"/>
          <w:bdr w:val="none" w:sz="0" w:space="0" w:color="auto" w:frame="1"/>
          <w:lang w:eastAsia="it-IT"/>
        </w:rPr>
        <w:t>Corte di Cassazione, sez. III Civile, sentenza 9 ottobre 2015 – 4 febbraio 2016, n. 2167</w:t>
      </w:r>
      <w:proofErr w:type="gramEnd"/>
      <w:r w:rsidRPr="00F85679">
        <w:rPr>
          <w:rFonts w:ascii="Arial" w:eastAsia="Times New Roman" w:hAnsi="Arial" w:cs="Arial"/>
          <w:color w:val="000000"/>
          <w:sz w:val="23"/>
          <w:szCs w:val="23"/>
          <w:lang w:eastAsia="it-IT"/>
        </w:rPr>
        <w:br/>
        <w:t xml:space="preserve">Presidente Petti – Relatore </w:t>
      </w:r>
      <w:proofErr w:type="spellStart"/>
      <w:r w:rsidRPr="00F85679">
        <w:rPr>
          <w:rFonts w:ascii="Arial" w:eastAsia="Times New Roman" w:hAnsi="Arial" w:cs="Arial"/>
          <w:color w:val="000000"/>
          <w:sz w:val="23"/>
          <w:szCs w:val="23"/>
          <w:lang w:eastAsia="it-IT"/>
        </w:rPr>
        <w:t>Scarano</w:t>
      </w:r>
      <w:proofErr w:type="spellEnd"/>
    </w:p>
    <w:p w:rsidR="00F85679" w:rsidRPr="00F85679" w:rsidRDefault="00F85679" w:rsidP="00F85679">
      <w:pPr>
        <w:spacing w:after="0" w:line="435" w:lineRule="atLeast"/>
        <w:jc w:val="center"/>
        <w:textAlignment w:val="baseline"/>
        <w:rPr>
          <w:rFonts w:ascii="Arial" w:eastAsia="Times New Roman" w:hAnsi="Arial" w:cs="Arial"/>
          <w:color w:val="000000"/>
          <w:sz w:val="23"/>
          <w:szCs w:val="23"/>
          <w:lang w:eastAsia="it-IT"/>
        </w:rPr>
      </w:pPr>
      <w:r w:rsidRPr="00F85679">
        <w:rPr>
          <w:rFonts w:ascii="Arial" w:eastAsia="Times New Roman" w:hAnsi="Arial" w:cs="Arial"/>
          <w:color w:val="000000"/>
          <w:sz w:val="23"/>
          <w:szCs w:val="23"/>
          <w:lang w:eastAsia="it-IT"/>
        </w:rPr>
        <w:t>Svolgimento del processo</w:t>
      </w:r>
    </w:p>
    <w:p w:rsidR="00F85679" w:rsidRPr="00F85679" w:rsidRDefault="00F85679" w:rsidP="00F85679">
      <w:pPr>
        <w:spacing w:after="0" w:line="435" w:lineRule="atLeast"/>
        <w:jc w:val="both"/>
        <w:textAlignment w:val="baseline"/>
        <w:rPr>
          <w:rFonts w:ascii="Arial" w:eastAsia="Times New Roman" w:hAnsi="Arial" w:cs="Arial"/>
          <w:color w:val="000000"/>
          <w:sz w:val="23"/>
          <w:szCs w:val="23"/>
          <w:lang w:eastAsia="it-IT"/>
        </w:rPr>
      </w:pPr>
      <w:r w:rsidRPr="00F85679">
        <w:rPr>
          <w:rFonts w:ascii="Arial" w:eastAsia="Times New Roman" w:hAnsi="Arial" w:cs="Arial"/>
          <w:color w:val="000000"/>
          <w:sz w:val="23"/>
          <w:szCs w:val="23"/>
          <w:lang w:eastAsia="it-IT"/>
        </w:rPr>
        <w:t xml:space="preserve">Con sentenza del 31/8/2011 la Corte d’Appello di Brescia ha respinto il gravame interposto dalla sig. </w:t>
      </w:r>
      <w:proofErr w:type="gramStart"/>
      <w:r w:rsidRPr="00F85679">
        <w:rPr>
          <w:rFonts w:ascii="Arial" w:eastAsia="Times New Roman" w:hAnsi="Arial" w:cs="Arial"/>
          <w:color w:val="000000"/>
          <w:sz w:val="23"/>
          <w:szCs w:val="23"/>
          <w:lang w:eastAsia="it-IT"/>
        </w:rPr>
        <w:t>G.A.</w:t>
      </w:r>
      <w:proofErr w:type="gramEnd"/>
      <w:r w:rsidRPr="00F85679">
        <w:rPr>
          <w:rFonts w:ascii="Arial" w:eastAsia="Times New Roman" w:hAnsi="Arial" w:cs="Arial"/>
          <w:color w:val="000000"/>
          <w:sz w:val="23"/>
          <w:szCs w:val="23"/>
          <w:lang w:eastAsia="it-IT"/>
        </w:rPr>
        <w:t xml:space="preserve"> in relazione alla pronunzia Trib. Brescia n. 1391/08 di rigetto della domanda proposta nei confronti della società </w:t>
      </w:r>
      <w:proofErr w:type="spellStart"/>
      <w:r w:rsidRPr="00F85679">
        <w:rPr>
          <w:rFonts w:ascii="Arial" w:eastAsia="Times New Roman" w:hAnsi="Arial" w:cs="Arial"/>
          <w:color w:val="000000"/>
          <w:sz w:val="23"/>
          <w:szCs w:val="23"/>
          <w:lang w:eastAsia="it-IT"/>
        </w:rPr>
        <w:t>Allianz</w:t>
      </w:r>
      <w:proofErr w:type="spellEnd"/>
      <w:r w:rsidRPr="00F85679">
        <w:rPr>
          <w:rFonts w:ascii="Arial" w:eastAsia="Times New Roman" w:hAnsi="Arial" w:cs="Arial"/>
          <w:color w:val="000000"/>
          <w:sz w:val="23"/>
          <w:szCs w:val="23"/>
          <w:lang w:eastAsia="it-IT"/>
        </w:rPr>
        <w:t xml:space="preserve"> s.p.a. (già R.A.S. s.p.a.) di risarcimento dei danni subiti in conseguenza di sinistro stradale avvenuto il (OMISSIS) nel Comune di (OMISSIS) tra l’autovettura VW Polo tg (…) da lei condotta e l’autocarro condotto dal sig. P.E. , che aveva improvvisamente invaso la corsia di marcia della prima. Rigetto dal giudice di prime cure motivato in ragione della circostanza che, incontestata l’esclusiva responsabilità del P. nella causazione del sinistro, la somma liquidata a titolo di risarcimento dei danni patrimoniali e non patrimoniali </w:t>
      </w:r>
      <w:proofErr w:type="gramStart"/>
      <w:r w:rsidRPr="00F85679">
        <w:rPr>
          <w:rFonts w:ascii="Arial" w:eastAsia="Times New Roman" w:hAnsi="Arial" w:cs="Arial"/>
          <w:color w:val="000000"/>
          <w:sz w:val="23"/>
          <w:szCs w:val="23"/>
          <w:lang w:eastAsia="it-IT"/>
        </w:rPr>
        <w:t>risultava</w:t>
      </w:r>
      <w:proofErr w:type="gramEnd"/>
      <w:r w:rsidRPr="00F85679">
        <w:rPr>
          <w:rFonts w:ascii="Arial" w:eastAsia="Times New Roman" w:hAnsi="Arial" w:cs="Arial"/>
          <w:color w:val="000000"/>
          <w:sz w:val="23"/>
          <w:szCs w:val="23"/>
          <w:lang w:eastAsia="it-IT"/>
        </w:rPr>
        <w:t xml:space="preserve"> soddisfatta da quella alla predetta G. già liquidata dalla compagnia assicuratrice Lloyd Adriatico Assicurazioni s.p.a. (per conto di R.A.S. s.p.a.).</w:t>
      </w:r>
      <w:r w:rsidRPr="00F85679">
        <w:rPr>
          <w:rFonts w:ascii="Arial" w:eastAsia="Times New Roman" w:hAnsi="Arial" w:cs="Arial"/>
          <w:color w:val="000000"/>
          <w:sz w:val="23"/>
          <w:szCs w:val="23"/>
          <w:lang w:eastAsia="it-IT"/>
        </w:rPr>
        <w:br/>
        <w:t xml:space="preserve">Avverso la suindicata pronunzia della corte di merito la G. propone ora ricorso per cassazione affidato a </w:t>
      </w:r>
      <w:proofErr w:type="gramStart"/>
      <w:r w:rsidRPr="00F85679">
        <w:rPr>
          <w:rFonts w:ascii="Arial" w:eastAsia="Times New Roman" w:hAnsi="Arial" w:cs="Arial"/>
          <w:color w:val="000000"/>
          <w:sz w:val="23"/>
          <w:szCs w:val="23"/>
          <w:lang w:eastAsia="it-IT"/>
        </w:rPr>
        <w:t>5</w:t>
      </w:r>
      <w:proofErr w:type="gramEnd"/>
      <w:r w:rsidRPr="00F85679">
        <w:rPr>
          <w:rFonts w:ascii="Arial" w:eastAsia="Times New Roman" w:hAnsi="Arial" w:cs="Arial"/>
          <w:color w:val="000000"/>
          <w:sz w:val="23"/>
          <w:szCs w:val="23"/>
          <w:lang w:eastAsia="it-IT"/>
        </w:rPr>
        <w:t xml:space="preserve"> motivi.</w:t>
      </w:r>
      <w:r w:rsidRPr="00F85679">
        <w:rPr>
          <w:rFonts w:ascii="Arial" w:eastAsia="Times New Roman" w:hAnsi="Arial" w:cs="Arial"/>
          <w:color w:val="000000"/>
          <w:sz w:val="23"/>
          <w:szCs w:val="23"/>
          <w:lang w:eastAsia="it-IT"/>
        </w:rPr>
        <w:br/>
        <w:t xml:space="preserve">Resiste con controricorso la società </w:t>
      </w:r>
      <w:proofErr w:type="spellStart"/>
      <w:r w:rsidRPr="00F85679">
        <w:rPr>
          <w:rFonts w:ascii="Arial" w:eastAsia="Times New Roman" w:hAnsi="Arial" w:cs="Arial"/>
          <w:color w:val="000000"/>
          <w:sz w:val="23"/>
          <w:szCs w:val="23"/>
          <w:lang w:eastAsia="it-IT"/>
        </w:rPr>
        <w:t>Allianz</w:t>
      </w:r>
      <w:proofErr w:type="spellEnd"/>
      <w:r w:rsidRPr="00F85679">
        <w:rPr>
          <w:rFonts w:ascii="Arial" w:eastAsia="Times New Roman" w:hAnsi="Arial" w:cs="Arial"/>
          <w:color w:val="000000"/>
          <w:sz w:val="23"/>
          <w:szCs w:val="23"/>
          <w:lang w:eastAsia="it-IT"/>
        </w:rPr>
        <w:t xml:space="preserve"> </w:t>
      </w:r>
      <w:proofErr w:type="gramStart"/>
      <w:r w:rsidRPr="00F85679">
        <w:rPr>
          <w:rFonts w:ascii="Arial" w:eastAsia="Times New Roman" w:hAnsi="Arial" w:cs="Arial"/>
          <w:color w:val="000000"/>
          <w:sz w:val="23"/>
          <w:szCs w:val="23"/>
          <w:lang w:eastAsia="it-IT"/>
        </w:rPr>
        <w:t>s.p.a.</w:t>
      </w:r>
      <w:proofErr w:type="gramEnd"/>
      <w:r w:rsidRPr="00F85679">
        <w:rPr>
          <w:rFonts w:ascii="Arial" w:eastAsia="Times New Roman" w:hAnsi="Arial" w:cs="Arial"/>
          <w:color w:val="000000"/>
          <w:sz w:val="23"/>
          <w:szCs w:val="23"/>
          <w:lang w:eastAsia="it-IT"/>
        </w:rPr>
        <w:t>, che ha presentato anche</w:t>
      </w:r>
    </w:p>
    <w:p w:rsidR="00F85679" w:rsidRPr="00F85679" w:rsidRDefault="00F85679" w:rsidP="00F85679">
      <w:pPr>
        <w:shd w:val="clear" w:color="auto" w:fill="FFFFFF"/>
        <w:spacing w:after="0" w:line="360" w:lineRule="atLeast"/>
        <w:jc w:val="both"/>
        <w:textAlignment w:val="baseline"/>
        <w:rPr>
          <w:rFonts w:ascii="Arial" w:eastAsia="Times New Roman" w:hAnsi="Arial" w:cs="Arial"/>
          <w:color w:val="000000"/>
          <w:sz w:val="23"/>
          <w:szCs w:val="23"/>
          <w:lang w:eastAsia="it-IT"/>
        </w:rPr>
      </w:pPr>
      <w:proofErr w:type="gramStart"/>
      <w:r w:rsidRPr="00F85679">
        <w:rPr>
          <w:rFonts w:ascii="Arial" w:eastAsia="Times New Roman" w:hAnsi="Arial" w:cs="Arial"/>
          <w:color w:val="000000"/>
          <w:sz w:val="23"/>
          <w:szCs w:val="23"/>
          <w:lang w:eastAsia="it-IT"/>
        </w:rPr>
        <w:t>memoria</w:t>
      </w:r>
      <w:proofErr w:type="gramEnd"/>
      <w:r w:rsidRPr="00F85679">
        <w:rPr>
          <w:rFonts w:ascii="Arial" w:eastAsia="Times New Roman" w:hAnsi="Arial" w:cs="Arial"/>
          <w:color w:val="000000"/>
          <w:sz w:val="23"/>
          <w:szCs w:val="23"/>
          <w:lang w:eastAsia="it-IT"/>
        </w:rPr>
        <w:t>.</w:t>
      </w:r>
    </w:p>
    <w:p w:rsidR="00F85679" w:rsidRPr="00F85679" w:rsidRDefault="00F85679" w:rsidP="00F85679">
      <w:pPr>
        <w:spacing w:after="0" w:line="435" w:lineRule="atLeast"/>
        <w:jc w:val="center"/>
        <w:textAlignment w:val="baseline"/>
        <w:rPr>
          <w:rFonts w:ascii="Arial" w:eastAsia="Times New Roman" w:hAnsi="Arial" w:cs="Arial"/>
          <w:color w:val="000000"/>
          <w:sz w:val="23"/>
          <w:szCs w:val="23"/>
          <w:lang w:eastAsia="it-IT"/>
        </w:rPr>
      </w:pPr>
      <w:r w:rsidRPr="00F85679">
        <w:rPr>
          <w:rFonts w:ascii="Arial" w:eastAsia="Times New Roman" w:hAnsi="Arial" w:cs="Arial"/>
          <w:color w:val="000000"/>
          <w:sz w:val="23"/>
          <w:szCs w:val="23"/>
          <w:lang w:eastAsia="it-IT"/>
        </w:rPr>
        <w:t>Motivi della decisione</w:t>
      </w:r>
    </w:p>
    <w:p w:rsidR="00F85679" w:rsidRPr="00F85679" w:rsidRDefault="00F85679" w:rsidP="00F85679">
      <w:pPr>
        <w:spacing w:after="0" w:line="435" w:lineRule="atLeast"/>
        <w:jc w:val="both"/>
        <w:textAlignment w:val="baseline"/>
        <w:rPr>
          <w:rFonts w:ascii="Arial" w:eastAsia="Times New Roman" w:hAnsi="Arial" w:cs="Arial"/>
          <w:color w:val="000000"/>
          <w:sz w:val="23"/>
          <w:szCs w:val="23"/>
          <w:lang w:eastAsia="it-IT"/>
        </w:rPr>
      </w:pPr>
      <w:r w:rsidRPr="00F85679">
        <w:rPr>
          <w:rFonts w:ascii="Arial" w:eastAsia="Times New Roman" w:hAnsi="Arial" w:cs="Arial"/>
          <w:color w:val="000000"/>
          <w:sz w:val="23"/>
          <w:szCs w:val="23"/>
          <w:lang w:eastAsia="it-IT"/>
        </w:rPr>
        <w:t xml:space="preserve">Con </w:t>
      </w:r>
      <w:proofErr w:type="gramStart"/>
      <w:r w:rsidRPr="00F85679">
        <w:rPr>
          <w:rFonts w:ascii="Arial" w:eastAsia="Times New Roman" w:hAnsi="Arial" w:cs="Arial"/>
          <w:color w:val="000000"/>
          <w:sz w:val="23"/>
          <w:szCs w:val="23"/>
          <w:lang w:eastAsia="it-IT"/>
        </w:rPr>
        <w:t xml:space="preserve">il </w:t>
      </w:r>
      <w:proofErr w:type="gramEnd"/>
      <w:r w:rsidRPr="00F85679">
        <w:rPr>
          <w:rFonts w:ascii="Arial" w:eastAsia="Times New Roman" w:hAnsi="Arial" w:cs="Arial"/>
          <w:color w:val="000000"/>
          <w:sz w:val="23"/>
          <w:szCs w:val="23"/>
          <w:lang w:eastAsia="it-IT"/>
        </w:rPr>
        <w:t xml:space="preserve">1 e il 2 motivo la ricorrente denunzia “omessa e/o insufficiente” motivazione e “difetto” di motivazione su punti decisivi della controversia, in riferimento all’art. 360, 1 co. n. 5, </w:t>
      </w:r>
      <w:proofErr w:type="spellStart"/>
      <w:proofErr w:type="gramStart"/>
      <w:r w:rsidRPr="00F85679">
        <w:rPr>
          <w:rFonts w:ascii="Arial" w:eastAsia="Times New Roman" w:hAnsi="Arial" w:cs="Arial"/>
          <w:color w:val="000000"/>
          <w:sz w:val="23"/>
          <w:szCs w:val="23"/>
          <w:lang w:eastAsia="it-IT"/>
        </w:rPr>
        <w:t>c.p.c</w:t>
      </w:r>
      <w:proofErr w:type="spellEnd"/>
      <w:proofErr w:type="gramEnd"/>
      <w:r w:rsidRPr="00F85679">
        <w:rPr>
          <w:rFonts w:ascii="Arial" w:eastAsia="Times New Roman" w:hAnsi="Arial" w:cs="Arial"/>
          <w:color w:val="000000"/>
          <w:sz w:val="23"/>
          <w:szCs w:val="23"/>
          <w:lang w:eastAsia="it-IT"/>
        </w:rPr>
        <w:t>..</w:t>
      </w:r>
      <w:r w:rsidRPr="00F85679">
        <w:rPr>
          <w:rFonts w:ascii="Arial" w:eastAsia="Times New Roman" w:hAnsi="Arial" w:cs="Arial"/>
          <w:color w:val="000000"/>
          <w:sz w:val="23"/>
          <w:szCs w:val="23"/>
          <w:lang w:eastAsia="it-IT"/>
        </w:rPr>
        <w:br/>
        <w:t xml:space="preserve">Con </w:t>
      </w:r>
      <w:proofErr w:type="gramStart"/>
      <w:r w:rsidRPr="00F85679">
        <w:rPr>
          <w:rFonts w:ascii="Arial" w:eastAsia="Times New Roman" w:hAnsi="Arial" w:cs="Arial"/>
          <w:color w:val="000000"/>
          <w:sz w:val="23"/>
          <w:szCs w:val="23"/>
          <w:lang w:eastAsia="it-IT"/>
        </w:rPr>
        <w:t>il 3 motivo</w:t>
      </w:r>
      <w:proofErr w:type="gramEnd"/>
      <w:r w:rsidRPr="00F85679">
        <w:rPr>
          <w:rFonts w:ascii="Arial" w:eastAsia="Times New Roman" w:hAnsi="Arial" w:cs="Arial"/>
          <w:color w:val="000000"/>
          <w:sz w:val="23"/>
          <w:szCs w:val="23"/>
          <w:lang w:eastAsia="it-IT"/>
        </w:rPr>
        <w:t xml:space="preserve"> denunzia “violazione e/o falsa applicazione” dell’art. 91 </w:t>
      </w:r>
      <w:proofErr w:type="spellStart"/>
      <w:r w:rsidRPr="00F85679">
        <w:rPr>
          <w:rFonts w:ascii="Arial" w:eastAsia="Times New Roman" w:hAnsi="Arial" w:cs="Arial"/>
          <w:color w:val="000000"/>
          <w:sz w:val="23"/>
          <w:szCs w:val="23"/>
          <w:lang w:eastAsia="it-IT"/>
        </w:rPr>
        <w:t>c.p.c.</w:t>
      </w:r>
      <w:proofErr w:type="spellEnd"/>
      <w:r w:rsidRPr="00F85679">
        <w:rPr>
          <w:rFonts w:ascii="Arial" w:eastAsia="Times New Roman" w:hAnsi="Arial" w:cs="Arial"/>
          <w:color w:val="000000"/>
          <w:sz w:val="23"/>
          <w:szCs w:val="23"/>
          <w:lang w:eastAsia="it-IT"/>
        </w:rPr>
        <w:t xml:space="preserve">, in riferimento all’art. 360, 1 co. n. 3, </w:t>
      </w:r>
      <w:proofErr w:type="spellStart"/>
      <w:proofErr w:type="gramStart"/>
      <w:r w:rsidRPr="00F85679">
        <w:rPr>
          <w:rFonts w:ascii="Arial" w:eastAsia="Times New Roman" w:hAnsi="Arial" w:cs="Arial"/>
          <w:color w:val="000000"/>
          <w:sz w:val="23"/>
          <w:szCs w:val="23"/>
          <w:lang w:eastAsia="it-IT"/>
        </w:rPr>
        <w:t>c.p.c</w:t>
      </w:r>
      <w:proofErr w:type="spellEnd"/>
      <w:proofErr w:type="gramEnd"/>
      <w:r w:rsidRPr="00F85679">
        <w:rPr>
          <w:rFonts w:ascii="Arial" w:eastAsia="Times New Roman" w:hAnsi="Arial" w:cs="Arial"/>
          <w:color w:val="000000"/>
          <w:sz w:val="23"/>
          <w:szCs w:val="23"/>
          <w:lang w:eastAsia="it-IT"/>
        </w:rPr>
        <w:t>..</w:t>
      </w:r>
      <w:r w:rsidRPr="00F85679">
        <w:rPr>
          <w:rFonts w:ascii="Arial" w:eastAsia="Times New Roman" w:hAnsi="Arial" w:cs="Arial"/>
          <w:color w:val="000000"/>
          <w:sz w:val="23"/>
          <w:szCs w:val="23"/>
          <w:lang w:eastAsia="it-IT"/>
        </w:rPr>
        <w:br/>
        <w:t xml:space="preserve">Con il </w:t>
      </w:r>
      <w:proofErr w:type="gramStart"/>
      <w:r w:rsidRPr="00F85679">
        <w:rPr>
          <w:rFonts w:ascii="Arial" w:eastAsia="Times New Roman" w:hAnsi="Arial" w:cs="Arial"/>
          <w:color w:val="000000"/>
          <w:sz w:val="23"/>
          <w:szCs w:val="23"/>
          <w:lang w:eastAsia="it-IT"/>
        </w:rPr>
        <w:t>4</w:t>
      </w:r>
      <w:proofErr w:type="gramEnd"/>
      <w:r w:rsidRPr="00F85679">
        <w:rPr>
          <w:rFonts w:ascii="Arial" w:eastAsia="Times New Roman" w:hAnsi="Arial" w:cs="Arial"/>
          <w:color w:val="000000"/>
          <w:sz w:val="23"/>
          <w:szCs w:val="23"/>
          <w:lang w:eastAsia="it-IT"/>
        </w:rPr>
        <w:t xml:space="preserve"> motivo denunzia “errata considerazione della liquidazione dei danni operata dal Tribunale di Brescia e confermata dalla Corte d’Appello di Brescia quale valutazione equitativa del danno. </w:t>
      </w:r>
      <w:proofErr w:type="gramStart"/>
      <w:r w:rsidRPr="00F85679">
        <w:rPr>
          <w:rFonts w:ascii="Arial" w:eastAsia="Times New Roman" w:hAnsi="Arial" w:cs="Arial"/>
          <w:color w:val="000000"/>
          <w:sz w:val="23"/>
          <w:szCs w:val="23"/>
          <w:lang w:eastAsia="it-IT"/>
        </w:rPr>
        <w:t xml:space="preserve">Difetto di motivazione della sentenza ex art. 360 n. 5 </w:t>
      </w:r>
      <w:proofErr w:type="spellStart"/>
      <w:r w:rsidRPr="00F85679">
        <w:rPr>
          <w:rFonts w:ascii="Arial" w:eastAsia="Times New Roman" w:hAnsi="Arial" w:cs="Arial"/>
          <w:color w:val="000000"/>
          <w:sz w:val="23"/>
          <w:szCs w:val="23"/>
          <w:lang w:eastAsia="it-IT"/>
        </w:rPr>
        <w:t>c.p.c.</w:t>
      </w:r>
      <w:proofErr w:type="spellEnd"/>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br/>
        <w:t xml:space="preserve">Con </w:t>
      </w:r>
      <w:proofErr w:type="gramStart"/>
      <w:r w:rsidRPr="00F85679">
        <w:rPr>
          <w:rFonts w:ascii="Arial" w:eastAsia="Times New Roman" w:hAnsi="Arial" w:cs="Arial"/>
          <w:color w:val="000000"/>
          <w:sz w:val="23"/>
          <w:szCs w:val="23"/>
          <w:lang w:eastAsia="it-IT"/>
        </w:rPr>
        <w:t>il 5 motivo</w:t>
      </w:r>
      <w:proofErr w:type="gramEnd"/>
      <w:r w:rsidRPr="00F85679">
        <w:rPr>
          <w:rFonts w:ascii="Arial" w:eastAsia="Times New Roman" w:hAnsi="Arial" w:cs="Arial"/>
          <w:color w:val="000000"/>
          <w:sz w:val="23"/>
          <w:szCs w:val="23"/>
          <w:lang w:eastAsia="it-IT"/>
        </w:rPr>
        <w:t xml:space="preserve"> denunzia “utilizzo errato delle tabelle”, in riferimento all’art. 360, 1 co. n. 3, </w:t>
      </w:r>
      <w:proofErr w:type="spellStart"/>
      <w:proofErr w:type="gramStart"/>
      <w:r w:rsidRPr="00F85679">
        <w:rPr>
          <w:rFonts w:ascii="Arial" w:eastAsia="Times New Roman" w:hAnsi="Arial" w:cs="Arial"/>
          <w:color w:val="000000"/>
          <w:sz w:val="23"/>
          <w:szCs w:val="23"/>
          <w:lang w:eastAsia="it-IT"/>
        </w:rPr>
        <w:t>c.p.c</w:t>
      </w:r>
      <w:proofErr w:type="spellEnd"/>
      <w:proofErr w:type="gramEnd"/>
      <w:r w:rsidRPr="00F85679">
        <w:rPr>
          <w:rFonts w:ascii="Arial" w:eastAsia="Times New Roman" w:hAnsi="Arial" w:cs="Arial"/>
          <w:color w:val="000000"/>
          <w:sz w:val="23"/>
          <w:szCs w:val="23"/>
          <w:lang w:eastAsia="it-IT"/>
        </w:rPr>
        <w:t>..</w:t>
      </w:r>
      <w:r w:rsidRPr="00F85679">
        <w:rPr>
          <w:rFonts w:ascii="Arial" w:eastAsia="Times New Roman" w:hAnsi="Arial" w:cs="Arial"/>
          <w:color w:val="000000"/>
          <w:sz w:val="23"/>
          <w:szCs w:val="23"/>
          <w:lang w:eastAsia="it-IT"/>
        </w:rPr>
        <w:br/>
        <w:t xml:space="preserve">Si duole che la liquidazione non sia stata comprensiva </w:t>
      </w:r>
      <w:proofErr w:type="gramStart"/>
      <w:r w:rsidRPr="00F85679">
        <w:rPr>
          <w:rFonts w:ascii="Arial" w:eastAsia="Times New Roman" w:hAnsi="Arial" w:cs="Arial"/>
          <w:color w:val="000000"/>
          <w:sz w:val="23"/>
          <w:szCs w:val="23"/>
          <w:lang w:eastAsia="it-IT"/>
        </w:rPr>
        <w:t xml:space="preserve">di </w:t>
      </w:r>
      <w:proofErr w:type="gramEnd"/>
      <w:r w:rsidRPr="00F85679">
        <w:rPr>
          <w:rFonts w:ascii="Arial" w:eastAsia="Times New Roman" w:hAnsi="Arial" w:cs="Arial"/>
          <w:color w:val="000000"/>
          <w:sz w:val="23"/>
          <w:szCs w:val="23"/>
          <w:lang w:eastAsia="it-IT"/>
        </w:rPr>
        <w:t>interessi e rivalutazione.</w:t>
      </w:r>
      <w:r w:rsidRPr="00F85679">
        <w:rPr>
          <w:rFonts w:ascii="Arial" w:eastAsia="Times New Roman" w:hAnsi="Arial" w:cs="Arial"/>
          <w:color w:val="000000"/>
          <w:sz w:val="23"/>
          <w:szCs w:val="23"/>
          <w:lang w:eastAsia="it-IT"/>
        </w:rPr>
        <w:br/>
        <w:t>Lamenta che la liquidazione del danno sia avvenuta sulla base delle Tabelle di Milano non aggiornate alla data di emissione della sentenza.</w:t>
      </w:r>
      <w:r w:rsidRPr="00F85679">
        <w:rPr>
          <w:rFonts w:ascii="Arial" w:eastAsia="Times New Roman" w:hAnsi="Arial" w:cs="Arial"/>
          <w:color w:val="000000"/>
          <w:sz w:val="23"/>
          <w:szCs w:val="23"/>
          <w:lang w:eastAsia="it-IT"/>
        </w:rPr>
        <w:br/>
        <w:t xml:space="preserve">Vanno anzitutto esaminati, </w:t>
      </w:r>
      <w:proofErr w:type="gramStart"/>
      <w:r w:rsidRPr="00F85679">
        <w:rPr>
          <w:rFonts w:ascii="Arial" w:eastAsia="Times New Roman" w:hAnsi="Arial" w:cs="Arial"/>
          <w:color w:val="000000"/>
          <w:sz w:val="23"/>
          <w:szCs w:val="23"/>
          <w:lang w:eastAsia="it-IT"/>
        </w:rPr>
        <w:t>in quanto</w:t>
      </w:r>
      <w:proofErr w:type="gramEnd"/>
      <w:r w:rsidRPr="00F85679">
        <w:rPr>
          <w:rFonts w:ascii="Arial" w:eastAsia="Times New Roman" w:hAnsi="Arial" w:cs="Arial"/>
          <w:color w:val="000000"/>
          <w:sz w:val="23"/>
          <w:szCs w:val="23"/>
          <w:lang w:eastAsia="it-IT"/>
        </w:rPr>
        <w:t xml:space="preserve"> logicamente prioritari, il 4 e il 5 motivo.</w:t>
      </w:r>
      <w:r w:rsidRPr="00F85679">
        <w:rPr>
          <w:rFonts w:ascii="Arial" w:eastAsia="Times New Roman" w:hAnsi="Arial" w:cs="Arial"/>
          <w:color w:val="000000"/>
          <w:sz w:val="23"/>
          <w:szCs w:val="23"/>
          <w:lang w:eastAsia="it-IT"/>
        </w:rPr>
        <w:br/>
        <w:t xml:space="preserve">Come questa Corte ha avuto più volte modo di affermare, diversamente che per quello patrimoniale, del danno non patrimoniale il ristoro pecuniario non può mai corrispondere alla </w:t>
      </w:r>
      <w:r w:rsidRPr="00F85679">
        <w:rPr>
          <w:rFonts w:ascii="Arial" w:eastAsia="Times New Roman" w:hAnsi="Arial" w:cs="Arial"/>
          <w:color w:val="000000"/>
          <w:sz w:val="23"/>
          <w:szCs w:val="23"/>
          <w:lang w:eastAsia="it-IT"/>
        </w:rPr>
        <w:lastRenderedPageBreak/>
        <w:t xml:space="preserve">relativa esatta commisurazione, imponendosene pertanto </w:t>
      </w:r>
      <w:proofErr w:type="spellStart"/>
      <w:r w:rsidRPr="00F85679">
        <w:rPr>
          <w:rFonts w:ascii="Arial" w:eastAsia="Times New Roman" w:hAnsi="Arial" w:cs="Arial"/>
          <w:color w:val="000000"/>
          <w:sz w:val="23"/>
          <w:szCs w:val="23"/>
          <w:lang w:eastAsia="it-IT"/>
        </w:rPr>
        <w:t>lavalutazione</w:t>
      </w:r>
      <w:proofErr w:type="spellEnd"/>
      <w:r w:rsidRPr="00F85679">
        <w:rPr>
          <w:rFonts w:ascii="Arial" w:eastAsia="Times New Roman" w:hAnsi="Arial" w:cs="Arial"/>
          <w:color w:val="000000"/>
          <w:sz w:val="23"/>
          <w:szCs w:val="23"/>
          <w:lang w:eastAsia="it-IT"/>
        </w:rPr>
        <w:t xml:space="preserve"> equitativa (v. Cass., Sez. </w:t>
      </w:r>
      <w:proofErr w:type="gramStart"/>
      <w:r w:rsidRPr="00F85679">
        <w:rPr>
          <w:rFonts w:ascii="Arial" w:eastAsia="Times New Roman" w:hAnsi="Arial" w:cs="Arial"/>
          <w:color w:val="000000"/>
          <w:sz w:val="23"/>
          <w:szCs w:val="23"/>
          <w:lang w:eastAsia="it-IT"/>
        </w:rPr>
        <w:t>Un.</w:t>
      </w:r>
      <w:proofErr w:type="gramEnd"/>
      <w:r w:rsidRPr="00F85679">
        <w:rPr>
          <w:rFonts w:ascii="Arial" w:eastAsia="Times New Roman" w:hAnsi="Arial" w:cs="Arial"/>
          <w:color w:val="000000"/>
          <w:sz w:val="23"/>
          <w:szCs w:val="23"/>
          <w:lang w:eastAsia="it-IT"/>
        </w:rPr>
        <w:t>, 11/11/2008, n. 26972, cit.; Cass., 31/5/2003, n. 8828. E già Cass., 5/4/1963, n. 872. Cfr. altresì Cass., 10/6/1987, n. 5063; Cass., 1/4/1980, n. 2112; Cass., 11/7/1977, n. 3106</w:t>
      </w:r>
      <w:proofErr w:type="gramStart"/>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br/>
        <w:t xml:space="preserve">Valutazione equitativa che è </w:t>
      </w:r>
      <w:proofErr w:type="gramStart"/>
      <w:r w:rsidRPr="00F85679">
        <w:rPr>
          <w:rFonts w:ascii="Arial" w:eastAsia="Times New Roman" w:hAnsi="Arial" w:cs="Arial"/>
          <w:color w:val="000000"/>
          <w:sz w:val="23"/>
          <w:szCs w:val="23"/>
          <w:lang w:eastAsia="it-IT"/>
        </w:rPr>
        <w:t>diretta a</w:t>
      </w:r>
      <w:proofErr w:type="gramEnd"/>
      <w:r w:rsidRPr="00F85679">
        <w:rPr>
          <w:rFonts w:ascii="Arial" w:eastAsia="Times New Roman" w:hAnsi="Arial" w:cs="Arial"/>
          <w:color w:val="000000"/>
          <w:sz w:val="23"/>
          <w:szCs w:val="23"/>
          <w:lang w:eastAsia="it-IT"/>
        </w:rPr>
        <w:t xml:space="preserve"> determinare “la compensazione economica socialmente adeguata” del pregiudizio, quella che “l’ambiente sociale accetta come compensazione equa” (in ordine al significato che nel caso assume l’equità v. Cass., 7/6/2011, n. 12408).</w:t>
      </w:r>
      <w:r w:rsidRPr="00F85679">
        <w:rPr>
          <w:rFonts w:ascii="Arial" w:eastAsia="Times New Roman" w:hAnsi="Arial" w:cs="Arial"/>
          <w:color w:val="000000"/>
          <w:sz w:val="23"/>
          <w:szCs w:val="23"/>
          <w:lang w:eastAsia="it-IT"/>
        </w:rPr>
        <w:br/>
      </w:r>
      <w:proofErr w:type="gramStart"/>
      <w:r w:rsidRPr="00F85679">
        <w:rPr>
          <w:rFonts w:ascii="Arial" w:eastAsia="Times New Roman" w:hAnsi="Arial" w:cs="Arial"/>
          <w:color w:val="000000"/>
          <w:sz w:val="23"/>
          <w:szCs w:val="23"/>
          <w:lang w:eastAsia="it-IT"/>
        </w:rPr>
        <w:t>Subordinata alla dimostrata esistenza di un danno risarcibile certo (e non meramente eventuale o ipotetico) (cfr., da ultimo, Cass., 8/7/201</w:t>
      </w:r>
      <w:proofErr w:type="gramEnd"/>
      <w:r w:rsidRPr="00F85679">
        <w:rPr>
          <w:rFonts w:ascii="Arial" w:eastAsia="Times New Roman" w:hAnsi="Arial" w:cs="Arial"/>
          <w:color w:val="000000"/>
          <w:sz w:val="23"/>
          <w:szCs w:val="23"/>
          <w:lang w:eastAsia="it-IT"/>
        </w:rPr>
        <w:t xml:space="preserve">4, n. 15478. </w:t>
      </w:r>
      <w:proofErr w:type="gramStart"/>
      <w:r w:rsidRPr="00F85679">
        <w:rPr>
          <w:rFonts w:ascii="Arial" w:eastAsia="Times New Roman" w:hAnsi="Arial" w:cs="Arial"/>
          <w:color w:val="000000"/>
          <w:sz w:val="23"/>
          <w:szCs w:val="23"/>
          <w:lang w:eastAsia="it-IT"/>
        </w:rPr>
        <w:t>E già Cass., 19/6/1962, n. 1536) e alla circostanza dell’impossibilità o estrema difficoltà (v. Cass., 24/5/2010, n. 12613</w:t>
      </w:r>
      <w:proofErr w:type="gramEnd"/>
      <w:r w:rsidRPr="00F85679">
        <w:rPr>
          <w:rFonts w:ascii="Arial" w:eastAsia="Times New Roman" w:hAnsi="Arial" w:cs="Arial"/>
          <w:color w:val="000000"/>
          <w:sz w:val="23"/>
          <w:szCs w:val="23"/>
          <w:lang w:eastAsia="it-IT"/>
        </w:rPr>
        <w:t>. E già Cass., 6/10/1972, n. 2904) di prova nel suo preciso ammontare, attenendo pertanto alla quantificazione e non già all’individuazione del danno (non potendo valere a surrogare il mancato assolvimento dell’onere probatorio imposto all’art. 2697 c.c.: v. Cass., 11/5/2010, n. 11368; Cass., 6/5/2010, n. 10957; Cass., 10/12/2009, n. 25820; e, da ultimo, Cass., 4/11/2014, n. 23425</w:t>
      </w:r>
      <w:proofErr w:type="gramStart"/>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t xml:space="preserve">, la valutazione equitativa deve essere condotta con prudente e ragionevole apprezzamento di tutte le circostanze del caso concreto, considerandosi in particolare la </w:t>
      </w:r>
      <w:proofErr w:type="spellStart"/>
      <w:r w:rsidRPr="00F85679">
        <w:rPr>
          <w:rFonts w:ascii="Arial" w:eastAsia="Times New Roman" w:hAnsi="Arial" w:cs="Arial"/>
          <w:color w:val="000000"/>
          <w:sz w:val="23"/>
          <w:szCs w:val="23"/>
          <w:lang w:eastAsia="it-IT"/>
        </w:rPr>
        <w:t>rilevanzaeconomica</w:t>
      </w:r>
      <w:proofErr w:type="spellEnd"/>
      <w:r w:rsidRPr="00F85679">
        <w:rPr>
          <w:rFonts w:ascii="Arial" w:eastAsia="Times New Roman" w:hAnsi="Arial" w:cs="Arial"/>
          <w:color w:val="000000"/>
          <w:sz w:val="23"/>
          <w:szCs w:val="23"/>
          <w:lang w:eastAsia="it-IT"/>
        </w:rPr>
        <w:t xml:space="preserve"> del danno alla stregua della coscienza sociale e i vari fattori incidenti sulla gravità della lesione.</w:t>
      </w:r>
      <w:r w:rsidRPr="00F85679">
        <w:rPr>
          <w:rFonts w:ascii="Arial" w:eastAsia="Times New Roman" w:hAnsi="Arial" w:cs="Arial"/>
          <w:color w:val="000000"/>
          <w:sz w:val="23"/>
          <w:szCs w:val="23"/>
          <w:lang w:eastAsia="it-IT"/>
        </w:rPr>
        <w:br/>
        <w:t xml:space="preserve">Come avvertito anche in dottrina, l’esigenza di una tendenziale uniformità della valutazione di base della lesione non può d’altro canto tradursi in una preventiva tariffazione della persona, rilevando aspetti </w:t>
      </w:r>
      <w:proofErr w:type="gramStart"/>
      <w:r w:rsidRPr="00F85679">
        <w:rPr>
          <w:rFonts w:ascii="Arial" w:eastAsia="Times New Roman" w:hAnsi="Arial" w:cs="Arial"/>
          <w:color w:val="000000"/>
          <w:sz w:val="23"/>
          <w:szCs w:val="23"/>
          <w:lang w:eastAsia="it-IT"/>
        </w:rPr>
        <w:t>personalistici</w:t>
      </w:r>
      <w:proofErr w:type="gramEnd"/>
      <w:r w:rsidRPr="00F85679">
        <w:rPr>
          <w:rFonts w:ascii="Arial" w:eastAsia="Times New Roman" w:hAnsi="Arial" w:cs="Arial"/>
          <w:color w:val="000000"/>
          <w:sz w:val="23"/>
          <w:szCs w:val="23"/>
          <w:lang w:eastAsia="it-IT"/>
        </w:rPr>
        <w:t xml:space="preserve"> che rendono necessariamente individuale e specifica la relativa quantificazione nel singolo caso concreto (cfr. Cass., 31/5/2003, n. 8828).</w:t>
      </w:r>
      <w:r w:rsidRPr="00F85679">
        <w:rPr>
          <w:rFonts w:ascii="Arial" w:eastAsia="Times New Roman" w:hAnsi="Arial" w:cs="Arial"/>
          <w:color w:val="000000"/>
          <w:sz w:val="23"/>
          <w:szCs w:val="23"/>
          <w:lang w:eastAsia="it-IT"/>
        </w:rPr>
        <w:br/>
        <w:t xml:space="preserve">Il danno non patrimoniale non può comunque essere liquidato in termini puramente simbolici o irrisori o comunque non correlati all’effettiva natura o entità del danno (v. Cass., 12/5/2006, n. 11039; Cass., 11/1/2007, n. 392; Cass., 11/1/2007, n. 394), ma deve essere congrue Per essere </w:t>
      </w:r>
      <w:proofErr w:type="gramStart"/>
      <w:r w:rsidRPr="00F85679">
        <w:rPr>
          <w:rFonts w:ascii="Arial" w:eastAsia="Times New Roman" w:hAnsi="Arial" w:cs="Arial"/>
          <w:color w:val="000000"/>
          <w:sz w:val="23"/>
          <w:szCs w:val="23"/>
          <w:lang w:eastAsia="it-IT"/>
        </w:rPr>
        <w:t>congruo</w:t>
      </w:r>
      <w:proofErr w:type="gramEnd"/>
      <w:r w:rsidRPr="00F85679">
        <w:rPr>
          <w:rFonts w:ascii="Arial" w:eastAsia="Times New Roman" w:hAnsi="Arial" w:cs="Arial"/>
          <w:color w:val="000000"/>
          <w:sz w:val="23"/>
          <w:szCs w:val="23"/>
          <w:lang w:eastAsia="it-IT"/>
        </w:rPr>
        <w:t>, il ristoro deve tendere, in considerazione della particolarità del caso concreto e della reale entità del danno, alla maggiore approssimazione possibile all’integrale risarcimento (v. Cass., 30/6/2011, n. 14402; Cass., Sez. Un., 11/11/2008, n. 26972; Cass., 29/3/2007, n. 7740. Nel senso che il risarcimento deve essere senz’altro “integrale” v. peraltro Cass., 17/4/2013, n. 9231</w:t>
      </w:r>
      <w:proofErr w:type="gramStart"/>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br/>
        <w:t xml:space="preserve">Alla stessa stregua di quanto </w:t>
      </w:r>
      <w:proofErr w:type="gramStart"/>
      <w:r w:rsidRPr="00F85679">
        <w:rPr>
          <w:rFonts w:ascii="Arial" w:eastAsia="Times New Roman" w:hAnsi="Arial" w:cs="Arial"/>
          <w:color w:val="000000"/>
          <w:sz w:val="23"/>
          <w:szCs w:val="23"/>
          <w:lang w:eastAsia="it-IT"/>
        </w:rPr>
        <w:t>si verifica</w:t>
      </w:r>
      <w:proofErr w:type="gramEnd"/>
      <w:r w:rsidRPr="00F85679">
        <w:rPr>
          <w:rFonts w:ascii="Arial" w:eastAsia="Times New Roman" w:hAnsi="Arial" w:cs="Arial"/>
          <w:color w:val="000000"/>
          <w:sz w:val="23"/>
          <w:szCs w:val="23"/>
          <w:lang w:eastAsia="it-IT"/>
        </w:rPr>
        <w:t xml:space="preserve"> relativamente al danno patrimoniale, attesa la diversità ontologica degli aspetti (o voci) di cui si compendia la categoria </w:t>
      </w:r>
      <w:proofErr w:type="spellStart"/>
      <w:r w:rsidRPr="00F85679">
        <w:rPr>
          <w:rFonts w:ascii="Arial" w:eastAsia="Times New Roman" w:hAnsi="Arial" w:cs="Arial"/>
          <w:color w:val="000000"/>
          <w:sz w:val="23"/>
          <w:szCs w:val="23"/>
          <w:lang w:eastAsia="it-IT"/>
        </w:rPr>
        <w:t>generaledel</w:t>
      </w:r>
      <w:proofErr w:type="spellEnd"/>
      <w:r w:rsidRPr="00F85679">
        <w:rPr>
          <w:rFonts w:ascii="Arial" w:eastAsia="Times New Roman" w:hAnsi="Arial" w:cs="Arial"/>
          <w:color w:val="000000"/>
          <w:sz w:val="23"/>
          <w:szCs w:val="23"/>
          <w:lang w:eastAsia="it-IT"/>
        </w:rPr>
        <w:t xml:space="preserve"> danno non patrimoniale è necessario che essi, in quanto sussistenti e provati, vengano tutti risarciti, e </w:t>
      </w:r>
      <w:r w:rsidRPr="00F85679">
        <w:rPr>
          <w:rFonts w:ascii="Arial" w:eastAsia="Times New Roman" w:hAnsi="Arial" w:cs="Arial"/>
          <w:color w:val="000000"/>
          <w:sz w:val="23"/>
          <w:szCs w:val="23"/>
          <w:lang w:eastAsia="it-IT"/>
        </w:rPr>
        <w:lastRenderedPageBreak/>
        <w:t>nessuno sia lasciato privo di ristoro (v., da ultimo, Cass., 23/4/2013, n. 9770; Cass., 17/4/2013, n. 9231; Cass., 7/6/2011, n. 12273; Cass., 9/5/2011, n. 10108).</w:t>
      </w:r>
      <w:r w:rsidRPr="00F85679">
        <w:rPr>
          <w:rFonts w:ascii="Arial" w:eastAsia="Times New Roman" w:hAnsi="Arial" w:cs="Arial"/>
          <w:color w:val="000000"/>
          <w:sz w:val="23"/>
          <w:szCs w:val="23"/>
          <w:lang w:eastAsia="it-IT"/>
        </w:rPr>
        <w:br/>
        <w:t xml:space="preserve">Essendo il ristoro del danno non patrimoniale imprescindibilmente rimesso alla relativa valutazione equitativa, con particolare riferimento alla liquidazione del danno alla salute si è in giurisprudenza costantemente affermata la necessità per il giudice di fare luogo </w:t>
      </w:r>
      <w:proofErr w:type="gramStart"/>
      <w:r w:rsidRPr="00F85679">
        <w:rPr>
          <w:rFonts w:ascii="Arial" w:eastAsia="Times New Roman" w:hAnsi="Arial" w:cs="Arial"/>
          <w:color w:val="000000"/>
          <w:sz w:val="23"/>
          <w:szCs w:val="23"/>
          <w:lang w:eastAsia="it-IT"/>
        </w:rPr>
        <w:t>ad</w:t>
      </w:r>
      <w:proofErr w:type="gramEnd"/>
      <w:r w:rsidRPr="00F85679">
        <w:rPr>
          <w:rFonts w:ascii="Arial" w:eastAsia="Times New Roman" w:hAnsi="Arial" w:cs="Arial"/>
          <w:color w:val="000000"/>
          <w:sz w:val="23"/>
          <w:szCs w:val="23"/>
          <w:lang w:eastAsia="it-IT"/>
        </w:rPr>
        <w:t xml:space="preserve"> una valutazione che, movendo da una “uniformità pecuniaria di base”, la quale assicuri che lo stesso tipo di lesione non sia valutato in maniera del tutto diversa da soggetto a soggetto, risponda altresì a criteri di elasticità e flessibilità, per adeguare la liquidazione all’effettiva incidenza della menomazione subita dal danneggiato a tutte le circostanze del caso concreto (cfr. in particolare Cass., 7/6/2011, n. 12408; Cass., Sez. Un., 11/11/2008, n. 26972. E già Corte Cost., 14/7/1986, n. 184</w:t>
      </w:r>
      <w:proofErr w:type="gramStart"/>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br/>
        <w:t xml:space="preserve">È invero compito del giudice accertare l’effettiva consistenza del pregiudizio allegato, a prescindere dal nome attribuitogli, individuando quali ripercussioni negative sul valore persona si </w:t>
      </w:r>
      <w:proofErr w:type="gramStart"/>
      <w:r w:rsidRPr="00F85679">
        <w:rPr>
          <w:rFonts w:ascii="Arial" w:eastAsia="Times New Roman" w:hAnsi="Arial" w:cs="Arial"/>
          <w:color w:val="000000"/>
          <w:sz w:val="23"/>
          <w:szCs w:val="23"/>
          <w:lang w:eastAsia="it-IT"/>
        </w:rPr>
        <w:t>siano</w:t>
      </w:r>
      <w:proofErr w:type="gramEnd"/>
      <w:r w:rsidRPr="00F85679">
        <w:rPr>
          <w:rFonts w:ascii="Arial" w:eastAsia="Times New Roman" w:hAnsi="Arial" w:cs="Arial"/>
          <w:color w:val="000000"/>
          <w:sz w:val="23"/>
          <w:szCs w:val="23"/>
          <w:lang w:eastAsia="it-IT"/>
        </w:rPr>
        <w:t xml:space="preserve"> verificate, e provvedendo al relativo integrale ristoro (v. Cass., 13/5/2011, n. 10527; Cass., Sez. Un.,11/11/2008, n. 26972).</w:t>
      </w:r>
      <w:r w:rsidRPr="00F85679">
        <w:rPr>
          <w:rFonts w:ascii="Arial" w:eastAsia="Times New Roman" w:hAnsi="Arial" w:cs="Arial"/>
          <w:color w:val="000000"/>
          <w:sz w:val="23"/>
          <w:szCs w:val="23"/>
          <w:lang w:eastAsia="it-IT"/>
        </w:rPr>
        <w:br/>
        <w:t xml:space="preserve">In tale stregua è allora esclusa la possibilità di applicarsi in modo “puro” parametri rigidamente fissati in astratto, giacché non essendo in tal caso consentito discostarsene, </w:t>
      </w:r>
      <w:proofErr w:type="gramStart"/>
      <w:r w:rsidRPr="00F85679">
        <w:rPr>
          <w:rFonts w:ascii="Arial" w:eastAsia="Times New Roman" w:hAnsi="Arial" w:cs="Arial"/>
          <w:color w:val="000000"/>
          <w:sz w:val="23"/>
          <w:szCs w:val="23"/>
          <w:lang w:eastAsia="it-IT"/>
        </w:rPr>
        <w:t>risulta</w:t>
      </w:r>
      <w:proofErr w:type="gramEnd"/>
      <w:r w:rsidRPr="00F85679">
        <w:rPr>
          <w:rFonts w:ascii="Arial" w:eastAsia="Times New Roman" w:hAnsi="Arial" w:cs="Arial"/>
          <w:color w:val="000000"/>
          <w:sz w:val="23"/>
          <w:szCs w:val="23"/>
          <w:lang w:eastAsia="it-IT"/>
        </w:rPr>
        <w:t xml:space="preserve"> garantita la prevedibilità delle decisioni ma assicurata invero una uguaglianza meramente formale, e non già sostanziale (cfr. Cass., 23/1/2014, n. 1361).</w:t>
      </w:r>
      <w:r w:rsidRPr="00F85679">
        <w:rPr>
          <w:rFonts w:ascii="Arial" w:eastAsia="Times New Roman" w:hAnsi="Arial" w:cs="Arial"/>
          <w:color w:val="000000"/>
          <w:sz w:val="23"/>
          <w:szCs w:val="23"/>
          <w:lang w:eastAsia="it-IT"/>
        </w:rPr>
        <w:br/>
        <w:t>Del pari inidonea è una valutazione rimessa alla mera intuizione soggettiva del giudice, e quindi, in assenza di qualsiasi criterio generale valido per tutti i danneggiati a parità di lesioni, sostanzialmente al suo mero arbitrio (cfr. Cass., 23/1/2014, n. 1361).</w:t>
      </w:r>
      <w:r w:rsidRPr="00F85679">
        <w:rPr>
          <w:rFonts w:ascii="Arial" w:eastAsia="Times New Roman" w:hAnsi="Arial" w:cs="Arial"/>
          <w:color w:val="000000"/>
          <w:sz w:val="23"/>
          <w:szCs w:val="23"/>
          <w:lang w:eastAsia="it-IT"/>
        </w:rPr>
        <w:br/>
        <w:t>Se una siffatta valutazione vale a teoricamente assicurare un’adeguata personalizzazione del risarcimento, non altrettanto può</w:t>
      </w:r>
      <w:proofErr w:type="gramStart"/>
      <w:r w:rsidRPr="00F85679">
        <w:rPr>
          <w:rFonts w:ascii="Arial" w:eastAsia="Times New Roman" w:hAnsi="Arial" w:cs="Arial"/>
          <w:color w:val="000000"/>
          <w:sz w:val="23"/>
          <w:szCs w:val="23"/>
          <w:lang w:eastAsia="it-IT"/>
        </w:rPr>
        <w:t xml:space="preserve"> infatti</w:t>
      </w:r>
      <w:proofErr w:type="gramEnd"/>
      <w:r w:rsidRPr="00F85679">
        <w:rPr>
          <w:rFonts w:ascii="Arial" w:eastAsia="Times New Roman" w:hAnsi="Arial" w:cs="Arial"/>
          <w:color w:val="000000"/>
          <w:sz w:val="23"/>
          <w:szCs w:val="23"/>
          <w:lang w:eastAsia="it-IT"/>
        </w:rPr>
        <w:t xml:space="preserve"> dirsi circa la parità di trattamento e la prevedibilità della decisione (v. Cass., 7/6/2011, n. 12408).</w:t>
      </w:r>
      <w:r w:rsidRPr="00F85679">
        <w:rPr>
          <w:rFonts w:ascii="Arial" w:eastAsia="Times New Roman" w:hAnsi="Arial" w:cs="Arial"/>
          <w:color w:val="000000"/>
          <w:sz w:val="23"/>
          <w:szCs w:val="23"/>
          <w:lang w:eastAsia="it-IT"/>
        </w:rPr>
        <w:br/>
        <w:t xml:space="preserve">Fondamentale è che, qualunque sia il sistema di quantificazione prescelto, esso si prospetti idoneo a consentire di pervenire </w:t>
      </w:r>
      <w:proofErr w:type="gramStart"/>
      <w:r w:rsidRPr="00F85679">
        <w:rPr>
          <w:rFonts w:ascii="Arial" w:eastAsia="Times New Roman" w:hAnsi="Arial" w:cs="Arial"/>
          <w:color w:val="000000"/>
          <w:sz w:val="23"/>
          <w:szCs w:val="23"/>
          <w:lang w:eastAsia="it-IT"/>
        </w:rPr>
        <w:t>ad</w:t>
      </w:r>
      <w:proofErr w:type="gramEnd"/>
      <w:r w:rsidRPr="00F85679">
        <w:rPr>
          <w:rFonts w:ascii="Arial" w:eastAsia="Times New Roman" w:hAnsi="Arial" w:cs="Arial"/>
          <w:color w:val="000000"/>
          <w:sz w:val="23"/>
          <w:szCs w:val="23"/>
          <w:lang w:eastAsia="it-IT"/>
        </w:rPr>
        <w:t xml:space="preserve"> una valutazione informata ad equità, e che il giudice dia adeguatamente conto in motivazione del processo logico al riguardo seguito, indicando i criteri assunti a base del procedimento valutativo adottato (v., da ultimo, Cass., 30/5/2014, n. 12265; Cass., 19/2/2013, n. 4047; Cass., 6/5/2009, n. 10401), al fine di consentire il controllo </w:t>
      </w:r>
      <w:proofErr w:type="spellStart"/>
      <w:r w:rsidRPr="00F85679">
        <w:rPr>
          <w:rFonts w:ascii="Arial" w:eastAsia="Times New Roman" w:hAnsi="Arial" w:cs="Arial"/>
          <w:color w:val="000000"/>
          <w:sz w:val="23"/>
          <w:szCs w:val="23"/>
          <w:lang w:eastAsia="it-IT"/>
        </w:rPr>
        <w:t>direlativa</w:t>
      </w:r>
      <w:proofErr w:type="spellEnd"/>
      <w:r w:rsidRPr="00F85679">
        <w:rPr>
          <w:rFonts w:ascii="Arial" w:eastAsia="Times New Roman" w:hAnsi="Arial" w:cs="Arial"/>
          <w:color w:val="000000"/>
          <w:sz w:val="23"/>
          <w:szCs w:val="23"/>
          <w:lang w:eastAsia="it-IT"/>
        </w:rPr>
        <w:t xml:space="preserve"> logicità, coerenza e congruità.</w:t>
      </w:r>
      <w:r w:rsidRPr="00F85679">
        <w:rPr>
          <w:rFonts w:ascii="Arial" w:eastAsia="Times New Roman" w:hAnsi="Arial" w:cs="Arial"/>
          <w:color w:val="000000"/>
          <w:sz w:val="23"/>
          <w:szCs w:val="23"/>
          <w:lang w:eastAsia="it-IT"/>
        </w:rPr>
        <w:br/>
        <w:t xml:space="preserve">I criteri di valutazione equitativa, la cui scelta </w:t>
      </w:r>
      <w:proofErr w:type="gramStart"/>
      <w:r w:rsidRPr="00F85679">
        <w:rPr>
          <w:rFonts w:ascii="Arial" w:eastAsia="Times New Roman" w:hAnsi="Arial" w:cs="Arial"/>
          <w:color w:val="000000"/>
          <w:sz w:val="23"/>
          <w:szCs w:val="23"/>
          <w:lang w:eastAsia="it-IT"/>
        </w:rPr>
        <w:t>ed</w:t>
      </w:r>
      <w:proofErr w:type="gramEnd"/>
      <w:r w:rsidRPr="00F85679">
        <w:rPr>
          <w:rFonts w:ascii="Arial" w:eastAsia="Times New Roman" w:hAnsi="Arial" w:cs="Arial"/>
          <w:color w:val="000000"/>
          <w:sz w:val="23"/>
          <w:szCs w:val="23"/>
          <w:lang w:eastAsia="it-IT"/>
        </w:rPr>
        <w:t xml:space="preserve"> adozione è rimessa alla prudente </w:t>
      </w:r>
      <w:r w:rsidRPr="00F85679">
        <w:rPr>
          <w:rFonts w:ascii="Arial" w:eastAsia="Times New Roman" w:hAnsi="Arial" w:cs="Arial"/>
          <w:color w:val="000000"/>
          <w:sz w:val="23"/>
          <w:szCs w:val="23"/>
          <w:lang w:eastAsia="it-IT"/>
        </w:rPr>
        <w:lastRenderedPageBreak/>
        <w:t>discrezionalità del giudice, devono essere dunque idonei a consentire la c.d. personalizzazione del danno (v. Cass., 16/2/2012, n. 2228; Cass., Sez. Un., 11/11/2008, n. 26972; Cass., 29/3/2007, n. 7740; Cass., 12/6/2006, n. 13546), al fine di addivenirsi ad una liquidazione congrua, sia sul piano dell’effettività del ristoro del pregiudizio che di quello della relativa perequazione – nel rispetto delle diversità proprie dei singoli casi concreti – sul territorio nazionale (v. Cass., 13/5/2011, n. 10528; Cass., 28/11/2008, n. 28423; Cass., 29/3/2007, n. 7740; Cass., 12/7/2006, n. 15760).</w:t>
      </w:r>
      <w:r w:rsidRPr="00F85679">
        <w:rPr>
          <w:rFonts w:ascii="Arial" w:eastAsia="Times New Roman" w:hAnsi="Arial" w:cs="Arial"/>
          <w:color w:val="000000"/>
          <w:sz w:val="23"/>
          <w:szCs w:val="23"/>
          <w:lang w:eastAsia="it-IT"/>
        </w:rPr>
        <w:br/>
        <w:t xml:space="preserve">In tema di liquidazione del danno, e di quello non patrimoniale in particolare, l’equità si è da questa Corte intesa nel significato di “adeguatezza” e di “proporzione”, </w:t>
      </w:r>
      <w:proofErr w:type="gramStart"/>
      <w:r w:rsidRPr="00F85679">
        <w:rPr>
          <w:rFonts w:ascii="Arial" w:eastAsia="Times New Roman" w:hAnsi="Arial" w:cs="Arial"/>
          <w:color w:val="000000"/>
          <w:sz w:val="23"/>
          <w:szCs w:val="23"/>
          <w:lang w:eastAsia="it-IT"/>
        </w:rPr>
        <w:t>assolvendo alla</w:t>
      </w:r>
      <w:proofErr w:type="gramEnd"/>
      <w:r w:rsidRPr="00F85679">
        <w:rPr>
          <w:rFonts w:ascii="Arial" w:eastAsia="Times New Roman" w:hAnsi="Arial" w:cs="Arial"/>
          <w:color w:val="000000"/>
          <w:sz w:val="23"/>
          <w:szCs w:val="23"/>
          <w:lang w:eastAsia="it-IT"/>
        </w:rPr>
        <w:t xml:space="preserve"> fondamentale funzione di “garantire l’intima coerenza dell’ordinamento, assicurando che casi uguali non siano trattati in modo diseguale”, con eliminazione delle “disparità di trattamento” e delle “ingiustizie” (così Cass., 7/6/2011, n. 12408).</w:t>
      </w:r>
      <w:r w:rsidRPr="00F85679">
        <w:rPr>
          <w:rFonts w:ascii="Arial" w:eastAsia="Times New Roman" w:hAnsi="Arial" w:cs="Arial"/>
          <w:color w:val="000000"/>
          <w:sz w:val="23"/>
          <w:szCs w:val="23"/>
          <w:lang w:eastAsia="it-IT"/>
        </w:rPr>
        <w:br/>
        <w:t xml:space="preserve">I criteri da adottarsi al riguardo </w:t>
      </w:r>
      <w:proofErr w:type="gramStart"/>
      <w:r w:rsidRPr="00F85679">
        <w:rPr>
          <w:rFonts w:ascii="Arial" w:eastAsia="Times New Roman" w:hAnsi="Arial" w:cs="Arial"/>
          <w:color w:val="000000"/>
          <w:sz w:val="23"/>
          <w:szCs w:val="23"/>
          <w:lang w:eastAsia="it-IT"/>
        </w:rPr>
        <w:t>debbono</w:t>
      </w:r>
      <w:proofErr w:type="gramEnd"/>
      <w:r w:rsidRPr="00F85679">
        <w:rPr>
          <w:rFonts w:ascii="Arial" w:eastAsia="Times New Roman" w:hAnsi="Arial" w:cs="Arial"/>
          <w:color w:val="000000"/>
          <w:sz w:val="23"/>
          <w:szCs w:val="23"/>
          <w:lang w:eastAsia="it-IT"/>
        </w:rPr>
        <w:t xml:space="preserve"> consentire pertanto una valutazione che sia equa, e cioè adeguata e proporzionata (v. Cass., 7/6/2011, n. 12408), inconsiderazione di tutte le circostanze concrete del caso specifico, al fine di ristorare il pregiudizio effettivamente subito dal danneggiato, a tale stregua pertanto del pari aliena da duplicazioni risarcitorie (v. Cass., 13/5/2011, n. 10527; Cass., 6/4/2011, n. 7844), in ossequio al principio per il quale il danneggiante e il debitore sono tenuti al ristoro solamente dei danni arrecati con il fatto illecito o l’inadempimento ad essi causalmente ascrivibile (v. Cass., 13/5/2011, n. 10527; Cass., 6/4/2011, n. 7844).</w:t>
      </w:r>
      <w:r w:rsidRPr="00F85679">
        <w:rPr>
          <w:rFonts w:ascii="Arial" w:eastAsia="Times New Roman" w:hAnsi="Arial" w:cs="Arial"/>
          <w:color w:val="000000"/>
          <w:sz w:val="23"/>
          <w:szCs w:val="23"/>
          <w:lang w:eastAsia="it-IT"/>
        </w:rPr>
        <w:br/>
        <w:t xml:space="preserve">Ne consegue che la liquidazione di un ammontare che si prospetti non congruo rispetto al caso concreto, </w:t>
      </w:r>
      <w:proofErr w:type="gramStart"/>
      <w:r w:rsidRPr="00F85679">
        <w:rPr>
          <w:rFonts w:ascii="Arial" w:eastAsia="Times New Roman" w:hAnsi="Arial" w:cs="Arial"/>
          <w:color w:val="000000"/>
          <w:sz w:val="23"/>
          <w:szCs w:val="23"/>
          <w:lang w:eastAsia="it-IT"/>
        </w:rPr>
        <w:t>in quanto</w:t>
      </w:r>
      <w:proofErr w:type="gramEnd"/>
      <w:r w:rsidRPr="00F85679">
        <w:rPr>
          <w:rFonts w:ascii="Arial" w:eastAsia="Times New Roman" w:hAnsi="Arial" w:cs="Arial"/>
          <w:color w:val="000000"/>
          <w:sz w:val="23"/>
          <w:szCs w:val="23"/>
          <w:lang w:eastAsia="it-IT"/>
        </w:rPr>
        <w:t xml:space="preserve"> irragionevole e sproporzionato per difetto o per eccesso (v. Cass., 31/8/2011, n. 17879), e pertanto sotto tale profilo non integrale, il sistema di quantificazione verrebbe per ciò stesso a palesarsi inidoneo a consentire al giudice di pervenire ad una valutazione informata ad equità, legittimando i dubbi in ordine alla sua legittimità.</w:t>
      </w:r>
      <w:r w:rsidRPr="00F85679">
        <w:rPr>
          <w:rFonts w:ascii="Arial" w:eastAsia="Times New Roman" w:hAnsi="Arial" w:cs="Arial"/>
          <w:color w:val="000000"/>
          <w:sz w:val="23"/>
          <w:szCs w:val="23"/>
          <w:lang w:eastAsia="it-IT"/>
        </w:rPr>
        <w:br/>
        <w:t xml:space="preserve">Com’è noto, in tema di risarcimento del danno non patrimoniale da sinistro stradale valida soluzione si è ravvisata essere quella costituita dal sistema delle tabelle (v. Cass., 7/6/2011, n. 12408; Cass., Sez. </w:t>
      </w:r>
      <w:proofErr w:type="gramStart"/>
      <w:r w:rsidRPr="00F85679">
        <w:rPr>
          <w:rFonts w:ascii="Arial" w:eastAsia="Times New Roman" w:hAnsi="Arial" w:cs="Arial"/>
          <w:color w:val="000000"/>
          <w:sz w:val="23"/>
          <w:szCs w:val="23"/>
          <w:lang w:eastAsia="it-IT"/>
        </w:rPr>
        <w:t>Un.</w:t>
      </w:r>
      <w:proofErr w:type="gramEnd"/>
      <w:r w:rsidRPr="00F85679">
        <w:rPr>
          <w:rFonts w:ascii="Arial" w:eastAsia="Times New Roman" w:hAnsi="Arial" w:cs="Arial"/>
          <w:color w:val="000000"/>
          <w:sz w:val="23"/>
          <w:szCs w:val="23"/>
          <w:lang w:eastAsia="it-IT"/>
        </w:rPr>
        <w:t>, 11/11/2008, n. 26972. V. altresì Cass., 13/5/2011, n. 10527</w:t>
      </w:r>
      <w:proofErr w:type="gramStart"/>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br/>
        <w:t xml:space="preserve">Le tabelle, siano esse giudiziali o normative, sono uno strumento idoneo a consentire al giudice di </w:t>
      </w:r>
      <w:proofErr w:type="spellStart"/>
      <w:r w:rsidRPr="00F85679">
        <w:rPr>
          <w:rFonts w:ascii="Arial" w:eastAsia="Times New Roman" w:hAnsi="Arial" w:cs="Arial"/>
          <w:color w:val="000000"/>
          <w:sz w:val="23"/>
          <w:szCs w:val="23"/>
          <w:lang w:eastAsia="it-IT"/>
        </w:rPr>
        <w:t>dareattuazione</w:t>
      </w:r>
      <w:proofErr w:type="spellEnd"/>
      <w:r w:rsidRPr="00F85679">
        <w:rPr>
          <w:rFonts w:ascii="Arial" w:eastAsia="Times New Roman" w:hAnsi="Arial" w:cs="Arial"/>
          <w:color w:val="000000"/>
          <w:sz w:val="23"/>
          <w:szCs w:val="23"/>
          <w:lang w:eastAsia="it-IT"/>
        </w:rPr>
        <w:t xml:space="preserve"> alla clausola generale posta all’art. 1226 c.c. (v. Cass., 19/5/1999, n. 4852).</w:t>
      </w:r>
      <w:r w:rsidRPr="00F85679">
        <w:rPr>
          <w:rFonts w:ascii="Arial" w:eastAsia="Times New Roman" w:hAnsi="Arial" w:cs="Arial"/>
          <w:color w:val="000000"/>
          <w:sz w:val="23"/>
          <w:szCs w:val="23"/>
          <w:lang w:eastAsia="it-IT"/>
        </w:rPr>
        <w:br/>
        <w:t xml:space="preserve">Lo stesso legislatore, oltre alla giurisprudenza, ha fatto </w:t>
      </w:r>
      <w:proofErr w:type="gramStart"/>
      <w:r w:rsidRPr="00F85679">
        <w:rPr>
          <w:rFonts w:ascii="Arial" w:eastAsia="Times New Roman" w:hAnsi="Arial" w:cs="Arial"/>
          <w:color w:val="000000"/>
          <w:sz w:val="23"/>
          <w:szCs w:val="23"/>
          <w:lang w:eastAsia="it-IT"/>
        </w:rPr>
        <w:t>ad</w:t>
      </w:r>
      <w:proofErr w:type="gramEnd"/>
      <w:r w:rsidRPr="00F85679">
        <w:rPr>
          <w:rFonts w:ascii="Arial" w:eastAsia="Times New Roman" w:hAnsi="Arial" w:cs="Arial"/>
          <w:color w:val="000000"/>
          <w:sz w:val="23"/>
          <w:szCs w:val="23"/>
          <w:lang w:eastAsia="it-IT"/>
        </w:rPr>
        <w:t xml:space="preserve"> esse espressamente riferimento.</w:t>
      </w:r>
      <w:r w:rsidRPr="00F85679">
        <w:rPr>
          <w:rFonts w:ascii="Arial" w:eastAsia="Times New Roman" w:hAnsi="Arial" w:cs="Arial"/>
          <w:color w:val="000000"/>
          <w:sz w:val="23"/>
          <w:szCs w:val="23"/>
          <w:lang w:eastAsia="it-IT"/>
        </w:rPr>
        <w:br/>
      </w:r>
      <w:r w:rsidRPr="00F85679">
        <w:rPr>
          <w:rFonts w:ascii="Arial" w:eastAsia="Times New Roman" w:hAnsi="Arial" w:cs="Arial"/>
          <w:color w:val="000000"/>
          <w:sz w:val="23"/>
          <w:szCs w:val="23"/>
          <w:lang w:eastAsia="it-IT"/>
        </w:rPr>
        <w:lastRenderedPageBreak/>
        <w:t xml:space="preserve">In tema di responsabilità civile da circolazione stradale, il d.lgs. n. 209 del 2005 ha introdotto la tabella unica nazionale per la liquidazione delle invalidità c.d. </w:t>
      </w:r>
      <w:proofErr w:type="spellStart"/>
      <w:r w:rsidRPr="00F85679">
        <w:rPr>
          <w:rFonts w:ascii="Arial" w:eastAsia="Times New Roman" w:hAnsi="Arial" w:cs="Arial"/>
          <w:color w:val="000000"/>
          <w:sz w:val="23"/>
          <w:szCs w:val="23"/>
          <w:lang w:eastAsia="it-IT"/>
        </w:rPr>
        <w:t>micropermanenti</w:t>
      </w:r>
      <w:proofErr w:type="spellEnd"/>
      <w:r w:rsidRPr="00F85679">
        <w:rPr>
          <w:rFonts w:ascii="Arial" w:eastAsia="Times New Roman" w:hAnsi="Arial" w:cs="Arial"/>
          <w:color w:val="000000"/>
          <w:sz w:val="23"/>
          <w:szCs w:val="23"/>
          <w:lang w:eastAsia="it-IT"/>
        </w:rPr>
        <w:t>.</w:t>
      </w:r>
      <w:r w:rsidRPr="00F85679">
        <w:rPr>
          <w:rFonts w:ascii="Arial" w:eastAsia="Times New Roman" w:hAnsi="Arial" w:cs="Arial"/>
          <w:color w:val="000000"/>
          <w:sz w:val="23"/>
          <w:szCs w:val="23"/>
          <w:lang w:eastAsia="it-IT"/>
        </w:rPr>
        <w:br/>
        <w:t xml:space="preserve">Già </w:t>
      </w:r>
      <w:proofErr w:type="gramStart"/>
      <w:r w:rsidRPr="00F85679">
        <w:rPr>
          <w:rFonts w:ascii="Arial" w:eastAsia="Times New Roman" w:hAnsi="Arial" w:cs="Arial"/>
          <w:color w:val="000000"/>
          <w:sz w:val="23"/>
          <w:szCs w:val="23"/>
          <w:lang w:eastAsia="it-IT"/>
        </w:rPr>
        <w:t>anteriormente</w:t>
      </w:r>
      <w:proofErr w:type="gramEnd"/>
      <w:r w:rsidRPr="00F85679">
        <w:rPr>
          <w:rFonts w:ascii="Arial" w:eastAsia="Times New Roman" w:hAnsi="Arial" w:cs="Arial"/>
          <w:color w:val="000000"/>
          <w:sz w:val="23"/>
          <w:szCs w:val="23"/>
          <w:lang w:eastAsia="it-IT"/>
        </w:rPr>
        <w:t xml:space="preserve"> era stato previsto (con D.M. 3 luglio 2003, e a far data dall’11 settembre 2003) un regime speciale per il danno biologico lieve o da </w:t>
      </w:r>
      <w:proofErr w:type="spellStart"/>
      <w:r w:rsidRPr="00F85679">
        <w:rPr>
          <w:rFonts w:ascii="Arial" w:eastAsia="Times New Roman" w:hAnsi="Arial" w:cs="Arial"/>
          <w:color w:val="000000"/>
          <w:sz w:val="23"/>
          <w:szCs w:val="23"/>
          <w:lang w:eastAsia="it-IT"/>
        </w:rPr>
        <w:t>micropermanente</w:t>
      </w:r>
      <w:proofErr w:type="spellEnd"/>
      <w:r w:rsidRPr="00F85679">
        <w:rPr>
          <w:rFonts w:ascii="Arial" w:eastAsia="Times New Roman" w:hAnsi="Arial" w:cs="Arial"/>
          <w:color w:val="000000"/>
          <w:sz w:val="23"/>
          <w:szCs w:val="23"/>
          <w:lang w:eastAsia="it-IT"/>
        </w:rPr>
        <w:t xml:space="preserve"> (fino a 9 punti).</w:t>
      </w:r>
      <w:r w:rsidRPr="00F85679">
        <w:rPr>
          <w:rFonts w:ascii="Arial" w:eastAsia="Times New Roman" w:hAnsi="Arial" w:cs="Arial"/>
          <w:color w:val="000000"/>
          <w:sz w:val="23"/>
          <w:szCs w:val="23"/>
          <w:lang w:eastAsia="it-IT"/>
        </w:rPr>
        <w:br/>
        <w:t xml:space="preserve">In assenza di tabelle normativamente determinate, come ad esempio per le c.d. macropermanenti e per le ipotesi diverse da </w:t>
      </w:r>
      <w:proofErr w:type="gramStart"/>
      <w:r w:rsidRPr="00F85679">
        <w:rPr>
          <w:rFonts w:ascii="Arial" w:eastAsia="Times New Roman" w:hAnsi="Arial" w:cs="Arial"/>
          <w:color w:val="000000"/>
          <w:sz w:val="23"/>
          <w:szCs w:val="23"/>
          <w:lang w:eastAsia="it-IT"/>
        </w:rPr>
        <w:t>quelle oggetto</w:t>
      </w:r>
      <w:proofErr w:type="gramEnd"/>
      <w:r w:rsidRPr="00F85679">
        <w:rPr>
          <w:rFonts w:ascii="Arial" w:eastAsia="Times New Roman" w:hAnsi="Arial" w:cs="Arial"/>
          <w:color w:val="000000"/>
          <w:sz w:val="23"/>
          <w:szCs w:val="23"/>
          <w:lang w:eastAsia="it-IT"/>
        </w:rPr>
        <w:t xml:space="preserve"> del suindicato decreto legislativo, il giudice fa normalmente ricorso a tabelle elaborate in base alle prassi seguite nei diversi tribunali (per l’affermazione che tali tabelle costituiscono il c.d. “notorio locale” v. in particolare Cass., 1 giugno 2010, n. 13431), la cui utilizzazione è stata dalle Sezioni Unite avallata nei limiti in cui, nell’avvalersene, il giudice proceda ad adeguata personalizzazione della liquidazione del danno non patrimoniale, valutando nella loro effettiva consistenza le sofferenze fisiche e psichiche patite dal soggetto leso, al fine “di pervenire al ristoro del danno nella sua interezza” (v. Cass.,</w:t>
      </w:r>
      <w:proofErr w:type="spellStart"/>
      <w:r w:rsidRPr="00F85679">
        <w:rPr>
          <w:rFonts w:ascii="Arial" w:eastAsia="Times New Roman" w:hAnsi="Arial" w:cs="Arial"/>
          <w:color w:val="000000"/>
          <w:sz w:val="23"/>
          <w:szCs w:val="23"/>
          <w:lang w:eastAsia="it-IT"/>
        </w:rPr>
        <w:t>Sez</w:t>
      </w:r>
      <w:proofErr w:type="spellEnd"/>
      <w:r w:rsidRPr="00F85679">
        <w:rPr>
          <w:rFonts w:ascii="Arial" w:eastAsia="Times New Roman" w:hAnsi="Arial" w:cs="Arial"/>
          <w:color w:val="000000"/>
          <w:sz w:val="23"/>
          <w:szCs w:val="23"/>
          <w:lang w:eastAsia="it-IT"/>
        </w:rPr>
        <w:t>. Un., 11 novembre 2008, n. 26972).</w:t>
      </w:r>
      <w:r w:rsidRPr="00F85679">
        <w:rPr>
          <w:rFonts w:ascii="Arial" w:eastAsia="Times New Roman" w:hAnsi="Arial" w:cs="Arial"/>
          <w:color w:val="000000"/>
          <w:sz w:val="23"/>
          <w:szCs w:val="23"/>
          <w:lang w:eastAsia="it-IT"/>
        </w:rPr>
        <w:br/>
        <w:t xml:space="preserve">Preso atto che le Tabelle di Milano sono andate nel tempo assumendo e palesando una “vocazione nazionale”, </w:t>
      </w:r>
      <w:proofErr w:type="gramStart"/>
      <w:r w:rsidRPr="00F85679">
        <w:rPr>
          <w:rFonts w:ascii="Arial" w:eastAsia="Times New Roman" w:hAnsi="Arial" w:cs="Arial"/>
          <w:color w:val="000000"/>
          <w:sz w:val="23"/>
          <w:szCs w:val="23"/>
          <w:lang w:eastAsia="it-IT"/>
        </w:rPr>
        <w:t>in quanto</w:t>
      </w:r>
      <w:proofErr w:type="gramEnd"/>
      <w:r w:rsidRPr="00F85679">
        <w:rPr>
          <w:rFonts w:ascii="Arial" w:eastAsia="Times New Roman" w:hAnsi="Arial" w:cs="Arial"/>
          <w:color w:val="000000"/>
          <w:sz w:val="23"/>
          <w:szCs w:val="23"/>
          <w:lang w:eastAsia="it-IT"/>
        </w:rPr>
        <w:t xml:space="preserve"> recanti i parametri maggiormente idonei a consentire di tradurre il concetto dell’equità valutativa, e ad evitare (o quantomeno ridurre) – al di là delle diversità delle condizioni economiche e sociali dei diversi contesti territoriali – ingiustificate disparità di trattamento che finiscano per profilarsi in termini di violazione dell’art. 3, 2 </w:t>
      </w:r>
      <w:proofErr w:type="spellStart"/>
      <w:r w:rsidRPr="00F85679">
        <w:rPr>
          <w:rFonts w:ascii="Arial" w:eastAsia="Times New Roman" w:hAnsi="Arial" w:cs="Arial"/>
          <w:color w:val="000000"/>
          <w:sz w:val="23"/>
          <w:szCs w:val="23"/>
          <w:lang w:eastAsia="it-IT"/>
        </w:rPr>
        <w:t>co</w:t>
      </w:r>
      <w:proofErr w:type="spellEnd"/>
      <w:r w:rsidRPr="00F85679">
        <w:rPr>
          <w:rFonts w:ascii="Arial" w:eastAsia="Times New Roman" w:hAnsi="Arial" w:cs="Arial"/>
          <w:color w:val="000000"/>
          <w:sz w:val="23"/>
          <w:szCs w:val="23"/>
          <w:lang w:eastAsia="it-IT"/>
        </w:rPr>
        <w:t>., Cost., questa Corte è pervenuta a ritenerle valido criterio di valutazione equitativa ex art. 1226 c.c. delle lesioni di non lieve entità (dal 10% al 100%) conseguenti alla circolazione (v. Cass., 7/6/2011, n. 12408; Cass., 30/6/2011, n. 14402).</w:t>
      </w:r>
      <w:r w:rsidRPr="00F85679">
        <w:rPr>
          <w:rFonts w:ascii="Arial" w:eastAsia="Times New Roman" w:hAnsi="Arial" w:cs="Arial"/>
          <w:color w:val="000000"/>
          <w:sz w:val="23"/>
          <w:szCs w:val="23"/>
          <w:lang w:eastAsia="it-IT"/>
        </w:rPr>
        <w:br/>
        <w:t>Essendo l’</w:t>
      </w:r>
      <w:proofErr w:type="gramStart"/>
      <w:r w:rsidRPr="00F85679">
        <w:rPr>
          <w:rFonts w:ascii="Arial" w:eastAsia="Times New Roman" w:hAnsi="Arial" w:cs="Arial"/>
          <w:color w:val="000000"/>
          <w:sz w:val="23"/>
          <w:szCs w:val="23"/>
          <w:lang w:eastAsia="it-IT"/>
        </w:rPr>
        <w:t>equità il</w:t>
      </w:r>
      <w:proofErr w:type="gramEnd"/>
      <w:r w:rsidRPr="00F85679">
        <w:rPr>
          <w:rFonts w:ascii="Arial" w:eastAsia="Times New Roman" w:hAnsi="Arial" w:cs="Arial"/>
          <w:color w:val="000000"/>
          <w:sz w:val="23"/>
          <w:szCs w:val="23"/>
          <w:lang w:eastAsia="it-IT"/>
        </w:rPr>
        <w:t xml:space="preserve"> contrario dell’arbitrio, la liquidazione equitativa operata dal giudice di merito è sindacabile in sede di legittimità (solamente) laddove risulti non congruamente motivata, dovendo di essa “darsi una giustificazione razionale a posteriori” (v. Cass., 7/6/2011, n. 12408).</w:t>
      </w:r>
      <w:r w:rsidRPr="00F85679">
        <w:rPr>
          <w:rFonts w:ascii="Arial" w:eastAsia="Times New Roman" w:hAnsi="Arial" w:cs="Arial"/>
          <w:color w:val="000000"/>
          <w:sz w:val="23"/>
          <w:szCs w:val="23"/>
          <w:lang w:eastAsia="it-IT"/>
        </w:rPr>
        <w:br/>
        <w:t xml:space="preserve">Poiché la liquidazione del quantum dovuto per il ristoro del danno non patrimoniale è inevitabilmente caratterizzata da un certo grado di approssimazione, si escludeva altresì che l’attività di quantificazione del danno fosse di per sé soggetta a controllo </w:t>
      </w:r>
      <w:proofErr w:type="spellStart"/>
      <w:r w:rsidRPr="00F85679">
        <w:rPr>
          <w:rFonts w:ascii="Arial" w:eastAsia="Times New Roman" w:hAnsi="Arial" w:cs="Arial"/>
          <w:color w:val="000000"/>
          <w:sz w:val="23"/>
          <w:szCs w:val="23"/>
          <w:lang w:eastAsia="it-IT"/>
        </w:rPr>
        <w:t>insede</w:t>
      </w:r>
      <w:proofErr w:type="spellEnd"/>
      <w:r w:rsidRPr="00F85679">
        <w:rPr>
          <w:rFonts w:ascii="Arial" w:eastAsia="Times New Roman" w:hAnsi="Arial" w:cs="Arial"/>
          <w:color w:val="000000"/>
          <w:sz w:val="23"/>
          <w:szCs w:val="23"/>
          <w:lang w:eastAsia="it-IT"/>
        </w:rPr>
        <w:t xml:space="preserve"> di legittimità, se non sotto l’esclusivo profilo del vizio di motivazione, </w:t>
      </w:r>
      <w:proofErr w:type="gramStart"/>
      <w:r w:rsidRPr="00F85679">
        <w:rPr>
          <w:rFonts w:ascii="Arial" w:eastAsia="Times New Roman" w:hAnsi="Arial" w:cs="Arial"/>
          <w:color w:val="000000"/>
          <w:sz w:val="23"/>
          <w:szCs w:val="23"/>
          <w:lang w:eastAsia="it-IT"/>
        </w:rPr>
        <w:t>in presenza</w:t>
      </w:r>
      <w:proofErr w:type="gramEnd"/>
      <w:r w:rsidRPr="00F85679">
        <w:rPr>
          <w:rFonts w:ascii="Arial" w:eastAsia="Times New Roman" w:hAnsi="Arial" w:cs="Arial"/>
          <w:color w:val="000000"/>
          <w:sz w:val="23"/>
          <w:szCs w:val="23"/>
          <w:lang w:eastAsia="it-IT"/>
        </w:rPr>
        <w:t xml:space="preserve"> di totale mancanza di giustificazione sorreggente la statuizione o di macroscopico scostamento da dati di comune esperienza o di radicale contraddittorietà delle argomentazioni (cfr., da ultimo, Cass., 19/5/2010, n. 12918; Cass., 26/1/2010, n. 1529).</w:t>
      </w:r>
      <w:r w:rsidRPr="00F85679">
        <w:rPr>
          <w:rFonts w:ascii="Arial" w:eastAsia="Times New Roman" w:hAnsi="Arial" w:cs="Arial"/>
          <w:color w:val="000000"/>
          <w:sz w:val="23"/>
          <w:szCs w:val="23"/>
          <w:lang w:eastAsia="it-IT"/>
        </w:rPr>
        <w:br/>
      </w:r>
      <w:r w:rsidRPr="00F85679">
        <w:rPr>
          <w:rFonts w:ascii="Arial" w:eastAsia="Times New Roman" w:hAnsi="Arial" w:cs="Arial"/>
          <w:color w:val="000000"/>
          <w:sz w:val="23"/>
          <w:szCs w:val="23"/>
          <w:lang w:eastAsia="it-IT"/>
        </w:rPr>
        <w:lastRenderedPageBreak/>
        <w:t>La Corte Suprema di Cassazione è peraltro recentemente pervenuta a radicalmente mutare tale orientamento.</w:t>
      </w:r>
      <w:r w:rsidRPr="00F85679">
        <w:rPr>
          <w:rFonts w:ascii="Arial" w:eastAsia="Times New Roman" w:hAnsi="Arial" w:cs="Arial"/>
          <w:color w:val="000000"/>
          <w:sz w:val="23"/>
          <w:szCs w:val="23"/>
          <w:lang w:eastAsia="it-IT"/>
        </w:rPr>
        <w:br/>
        <w:t xml:space="preserve">Si è in particolare precisato che i parametri delle Tabelle di Milano sono da prendersi a riferimento da parte del giudice di merito ai fini della liquidazione del danno non patrimoniale, </w:t>
      </w:r>
      <w:proofErr w:type="gramStart"/>
      <w:r w:rsidRPr="00F85679">
        <w:rPr>
          <w:rFonts w:ascii="Arial" w:eastAsia="Times New Roman" w:hAnsi="Arial" w:cs="Arial"/>
          <w:color w:val="000000"/>
          <w:sz w:val="23"/>
          <w:szCs w:val="23"/>
          <w:lang w:eastAsia="it-IT"/>
        </w:rPr>
        <w:t>ovvero</w:t>
      </w:r>
      <w:proofErr w:type="gramEnd"/>
      <w:r w:rsidRPr="00F85679">
        <w:rPr>
          <w:rFonts w:ascii="Arial" w:eastAsia="Times New Roman" w:hAnsi="Arial" w:cs="Arial"/>
          <w:color w:val="000000"/>
          <w:sz w:val="23"/>
          <w:szCs w:val="23"/>
          <w:lang w:eastAsia="it-IT"/>
        </w:rPr>
        <w:t xml:space="preserve"> quale criterio di riscontro e verifica di quella di inferiore ammontare cui sia diversamente pervenuto, sottolineandosi che incongrua è la motivazione che non dia conto delle ragioni della preferenza assegnata ad una quantificazione che, avuto riguardo alle circostanze del caso concreto, risulti sproporzionata rispetto a quella cui l’adozione dei parametri esibiti dalle dette Tabelle di Milano consente di pervenire (v. Cass., 20/5/2015, n. 10263; Cass., 18/11/2014, n. 24473; Cass., 30/6/2011, n. 14402. V. anche, da ultimo, Cass., 15/10/2015, n. 20895</w:t>
      </w:r>
      <w:proofErr w:type="gramStart"/>
      <w:r w:rsidRPr="00F85679">
        <w:rPr>
          <w:rFonts w:ascii="Arial" w:eastAsia="Times New Roman" w:hAnsi="Arial" w:cs="Arial"/>
          <w:color w:val="000000"/>
          <w:sz w:val="23"/>
          <w:szCs w:val="23"/>
          <w:lang w:eastAsia="it-IT"/>
        </w:rPr>
        <w:t>).</w:t>
      </w:r>
      <w:proofErr w:type="gramEnd"/>
      <w:r w:rsidRPr="00F85679">
        <w:rPr>
          <w:rFonts w:ascii="Arial" w:eastAsia="Times New Roman" w:hAnsi="Arial" w:cs="Arial"/>
          <w:color w:val="000000"/>
          <w:sz w:val="23"/>
          <w:szCs w:val="23"/>
          <w:lang w:eastAsia="it-IT"/>
        </w:rPr>
        <w:br/>
        <w:t xml:space="preserve">Si è altresì escluso di potersi fare luogo </w:t>
      </w:r>
      <w:proofErr w:type="gramStart"/>
      <w:r w:rsidRPr="00F85679">
        <w:rPr>
          <w:rFonts w:ascii="Arial" w:eastAsia="Times New Roman" w:hAnsi="Arial" w:cs="Arial"/>
          <w:color w:val="000000"/>
          <w:sz w:val="23"/>
          <w:szCs w:val="23"/>
          <w:lang w:eastAsia="it-IT"/>
        </w:rPr>
        <w:t>ad</w:t>
      </w:r>
      <w:proofErr w:type="gramEnd"/>
      <w:r w:rsidRPr="00F85679">
        <w:rPr>
          <w:rFonts w:ascii="Arial" w:eastAsia="Times New Roman" w:hAnsi="Arial" w:cs="Arial"/>
          <w:color w:val="000000"/>
          <w:sz w:val="23"/>
          <w:szCs w:val="23"/>
          <w:lang w:eastAsia="it-IT"/>
        </w:rPr>
        <w:t xml:space="preserve"> una liquidazione del danno morale affidata a meccanismi semplificativi di tipo automatico, ritenendosi </w:t>
      </w:r>
      <w:proofErr w:type="spellStart"/>
      <w:r w:rsidRPr="00F85679">
        <w:rPr>
          <w:rFonts w:ascii="Arial" w:eastAsia="Times New Roman" w:hAnsi="Arial" w:cs="Arial"/>
          <w:color w:val="000000"/>
          <w:sz w:val="23"/>
          <w:szCs w:val="23"/>
          <w:lang w:eastAsia="it-IT"/>
        </w:rPr>
        <w:t>inparticolare</w:t>
      </w:r>
      <w:proofErr w:type="spellEnd"/>
      <w:r w:rsidRPr="00F85679">
        <w:rPr>
          <w:rFonts w:ascii="Arial" w:eastAsia="Times New Roman" w:hAnsi="Arial" w:cs="Arial"/>
          <w:color w:val="000000"/>
          <w:sz w:val="23"/>
          <w:szCs w:val="23"/>
          <w:lang w:eastAsia="it-IT"/>
        </w:rPr>
        <w:t xml:space="preserve"> errata la liquidazione in misura pari ad una frazione dell’importo liquidato a titolo di danno biologico (v. Cass., 26/6/2013, n. 16041; Cass., 13/12/2012, n. 22909; Cass., 12/9/2011, n. 18641; Cass., 19/1/2010, n. 702), in quanto inidonei a rendere evidente e controllabile l’iter logico seguito dal giudice di merito per pervenire alla relativa quantificazione, né consente di stabilire se e come abbia tenuto conto della gravità del fatto, delle condizioni soggettive della persona, dell’entità della relativa sofferenza e del turbamento dello stato d’animo, al fine di potersi essa considerare congrua e adeguata risposta satisfattiva alla lesione della dignità umana (v. Cass., 16/2/2012, n. 2228; Cass., 13/12/2012, n. 22909).</w:t>
      </w:r>
      <w:r w:rsidRPr="00F85679">
        <w:rPr>
          <w:rFonts w:ascii="Arial" w:eastAsia="Times New Roman" w:hAnsi="Arial" w:cs="Arial"/>
          <w:color w:val="000000"/>
          <w:sz w:val="23"/>
          <w:szCs w:val="23"/>
          <w:lang w:eastAsia="it-IT"/>
        </w:rPr>
        <w:br/>
        <w:t xml:space="preserve">Da questa Corte si è sotto altro profilo avuto già più volte modo di affermare che trattandosi di debito di valore ai fini della liquidazione del danno non patrimoniale delle Tabelle di Milano vanno utilizzati i parametri vigenti al momento dell’emissione della decisione (v. Cass., 27/11/2015, n. 24210; Cass., 5/5/2015, n. 19211; Cass., 23/1/2014, n.1361; Cass., 17/4/2013, n.9231; Cass. 11/5/2012, n. 7272), sicché </w:t>
      </w:r>
      <w:proofErr w:type="gramStart"/>
      <w:r w:rsidRPr="00F85679">
        <w:rPr>
          <w:rFonts w:ascii="Arial" w:eastAsia="Times New Roman" w:hAnsi="Arial" w:cs="Arial"/>
          <w:color w:val="000000"/>
          <w:sz w:val="23"/>
          <w:szCs w:val="23"/>
          <w:lang w:eastAsia="it-IT"/>
        </w:rPr>
        <w:t>allorquando</w:t>
      </w:r>
      <w:proofErr w:type="gramEnd"/>
      <w:r w:rsidRPr="00F85679">
        <w:rPr>
          <w:rFonts w:ascii="Arial" w:eastAsia="Times New Roman" w:hAnsi="Arial" w:cs="Arial"/>
          <w:color w:val="000000"/>
          <w:sz w:val="23"/>
          <w:szCs w:val="23"/>
          <w:lang w:eastAsia="it-IT"/>
        </w:rPr>
        <w:t xml:space="preserve"> le Tabelle applicate per la liquidazione del danno non patrimoniale cambino nelle more tra l’introduzione del giudizio e la sua decisione, il giudice (anche d’appello)ha l’obbligo di utilizzare i parametri vigenti al momento della pronunzia (cfr. Cass., 29/9/2015, n. 19211; Cass., 6/3/2014, n. 5254).</w:t>
      </w:r>
      <w:r w:rsidRPr="00F85679">
        <w:rPr>
          <w:rFonts w:ascii="Arial" w:eastAsia="Times New Roman" w:hAnsi="Arial" w:cs="Arial"/>
          <w:color w:val="000000"/>
          <w:sz w:val="23"/>
          <w:szCs w:val="23"/>
          <w:lang w:eastAsia="it-IT"/>
        </w:rPr>
        <w:br/>
        <w:t>Orbene la corte di merito ha nell’impugnata sentenza invero disatteso i suindicati principi.</w:t>
      </w:r>
      <w:r w:rsidRPr="00F85679">
        <w:rPr>
          <w:rFonts w:ascii="Arial" w:eastAsia="Times New Roman" w:hAnsi="Arial" w:cs="Arial"/>
          <w:color w:val="000000"/>
          <w:sz w:val="23"/>
          <w:szCs w:val="23"/>
          <w:lang w:eastAsia="it-IT"/>
        </w:rPr>
        <w:br/>
      </w:r>
      <w:proofErr w:type="gramStart"/>
      <w:r w:rsidRPr="00F85679">
        <w:rPr>
          <w:rFonts w:ascii="Arial" w:eastAsia="Times New Roman" w:hAnsi="Arial" w:cs="Arial"/>
          <w:color w:val="000000"/>
          <w:sz w:val="23"/>
          <w:szCs w:val="23"/>
          <w:lang w:eastAsia="it-IT"/>
        </w:rPr>
        <w:t xml:space="preserve">Atteso che ai fini della liquidazione del danno non patrimoniale sono state nella specie dai giudici di merito poste a base di calcolo le Tabelle di Milano, va posto in rilievo come dalle </w:t>
      </w:r>
      <w:r w:rsidRPr="00F85679">
        <w:rPr>
          <w:rFonts w:ascii="Arial" w:eastAsia="Times New Roman" w:hAnsi="Arial" w:cs="Arial"/>
          <w:color w:val="000000"/>
          <w:sz w:val="23"/>
          <w:szCs w:val="23"/>
          <w:lang w:eastAsia="it-IT"/>
        </w:rPr>
        <w:lastRenderedPageBreak/>
        <w:t>medesime essi si sono poi discostati limitandosi ad affermare che “i criteri di liquidazione del danno biologico sono equitativamente determinati dal giudice</w:t>
      </w:r>
      <w:proofErr w:type="gramEnd"/>
      <w:r w:rsidRPr="00F85679">
        <w:rPr>
          <w:rFonts w:ascii="Arial" w:eastAsia="Times New Roman" w:hAnsi="Arial" w:cs="Arial"/>
          <w:color w:val="000000"/>
          <w:sz w:val="23"/>
          <w:szCs w:val="23"/>
          <w:lang w:eastAsia="it-IT"/>
        </w:rPr>
        <w:t xml:space="preserve">. Le tabelle redatte dall’Osservatorio per la giustizia civile di Milano che </w:t>
      </w:r>
      <w:proofErr w:type="gramStart"/>
      <w:r w:rsidRPr="00F85679">
        <w:rPr>
          <w:rFonts w:ascii="Arial" w:eastAsia="Times New Roman" w:hAnsi="Arial" w:cs="Arial"/>
          <w:color w:val="000000"/>
          <w:sz w:val="23"/>
          <w:szCs w:val="23"/>
          <w:lang w:eastAsia="it-IT"/>
        </w:rPr>
        <w:t>hanno</w:t>
      </w:r>
      <w:proofErr w:type="gramEnd"/>
      <w:r w:rsidRPr="00F85679">
        <w:rPr>
          <w:rFonts w:ascii="Arial" w:eastAsia="Times New Roman" w:hAnsi="Arial" w:cs="Arial"/>
          <w:color w:val="000000"/>
          <w:sz w:val="23"/>
          <w:szCs w:val="23"/>
          <w:lang w:eastAsia="it-IT"/>
        </w:rPr>
        <w:t xml:space="preserve"> subito una variazione a partire dal 2009 per effetto delle sentenze della Corte di cassazione dell’11 novembre 2008, stante l’esigenza di una liquidazione unitaria del danno non patrimoniale connesso alla lesione della salute, costituiscono solo una griglia di riferimento per il giudice che le deve applicare. La valutazione equitativa se sorretta da congrua motivazione </w:t>
      </w:r>
      <w:proofErr w:type="gramStart"/>
      <w:r w:rsidRPr="00F85679">
        <w:rPr>
          <w:rFonts w:ascii="Arial" w:eastAsia="Times New Roman" w:hAnsi="Arial" w:cs="Arial"/>
          <w:color w:val="000000"/>
          <w:sz w:val="23"/>
          <w:szCs w:val="23"/>
          <w:lang w:eastAsia="it-IT"/>
        </w:rPr>
        <w:t>può discostarsene</w:t>
      </w:r>
      <w:proofErr w:type="gramEnd"/>
      <w:r w:rsidRPr="00F85679">
        <w:rPr>
          <w:rFonts w:ascii="Arial" w:eastAsia="Times New Roman" w:hAnsi="Arial" w:cs="Arial"/>
          <w:color w:val="000000"/>
          <w:sz w:val="23"/>
          <w:szCs w:val="23"/>
          <w:lang w:eastAsia="it-IT"/>
        </w:rPr>
        <w:t>, per rendere congruo il risarcimento e poiché nella fattispecie si è tenuto conto dei parametri dell’età e della gravità della lesione alla integrità psico-fisica dell’attrice si ritiene congrua la valutazione del danno biologico così come quantificata dal giudice di primo grado”.</w:t>
      </w:r>
      <w:r w:rsidRPr="00F85679">
        <w:rPr>
          <w:rFonts w:ascii="Arial" w:eastAsia="Times New Roman" w:hAnsi="Arial" w:cs="Arial"/>
          <w:color w:val="000000"/>
          <w:sz w:val="23"/>
          <w:szCs w:val="23"/>
          <w:lang w:eastAsia="it-IT"/>
        </w:rPr>
        <w:br/>
        <w:t xml:space="preserve">Ancora, nella parte in cui ha argomentato il rigetto della doglianza mossa alla sentenza del giudice di prime cure dall’allora appellante </w:t>
      </w:r>
      <w:proofErr w:type="gramStart"/>
      <w:r w:rsidRPr="00F85679">
        <w:rPr>
          <w:rFonts w:ascii="Arial" w:eastAsia="Times New Roman" w:hAnsi="Arial" w:cs="Arial"/>
          <w:color w:val="000000"/>
          <w:sz w:val="23"/>
          <w:szCs w:val="23"/>
          <w:lang w:eastAsia="it-IT"/>
        </w:rPr>
        <w:t>ed</w:t>
      </w:r>
      <w:proofErr w:type="gramEnd"/>
      <w:r w:rsidRPr="00F85679">
        <w:rPr>
          <w:rFonts w:ascii="Arial" w:eastAsia="Times New Roman" w:hAnsi="Arial" w:cs="Arial"/>
          <w:color w:val="000000"/>
          <w:sz w:val="23"/>
          <w:szCs w:val="23"/>
          <w:lang w:eastAsia="it-IT"/>
        </w:rPr>
        <w:t xml:space="preserve"> odierna ricorrente, per avere il medesimo “liquidato il danno morale nell’importo di Euro 1.511,33 (1/3 del danno biologico), anziché nella misura di metà del danno biologico, come previsto dalle tabelle modificate… in considerazione del fatto che le conseguenze delle lesioni sono state particolarmente gravi e le provocano malesseri continui, quali emicranie e dolori alla spalla”, limitandosi ad affermare che al riguardo “valgono le identiche considerazioni esposte a proposito del danno biologico”.</w:t>
      </w:r>
      <w:r w:rsidRPr="00F85679">
        <w:rPr>
          <w:rFonts w:ascii="Arial" w:eastAsia="Times New Roman" w:hAnsi="Arial" w:cs="Arial"/>
          <w:color w:val="000000"/>
          <w:sz w:val="23"/>
          <w:szCs w:val="23"/>
          <w:lang w:eastAsia="it-IT"/>
        </w:rPr>
        <w:br/>
        <w:t xml:space="preserve">A tale stregua, pur premettendo che ai fini della liquidazione del danno non patrimoniale dalle Tabelle di Milano il giudice può discostarsi laddove essa </w:t>
      </w:r>
      <w:proofErr w:type="gramStart"/>
      <w:r w:rsidRPr="00F85679">
        <w:rPr>
          <w:rFonts w:ascii="Arial" w:eastAsia="Times New Roman" w:hAnsi="Arial" w:cs="Arial"/>
          <w:color w:val="000000"/>
          <w:sz w:val="23"/>
          <w:szCs w:val="23"/>
          <w:lang w:eastAsia="it-IT"/>
        </w:rPr>
        <w:t>risulti</w:t>
      </w:r>
      <w:proofErr w:type="gramEnd"/>
      <w:r w:rsidRPr="00F85679">
        <w:rPr>
          <w:rFonts w:ascii="Arial" w:eastAsia="Times New Roman" w:hAnsi="Arial" w:cs="Arial"/>
          <w:color w:val="000000"/>
          <w:sz w:val="23"/>
          <w:szCs w:val="23"/>
          <w:lang w:eastAsia="it-IT"/>
        </w:rPr>
        <w:t xml:space="preserve"> “sorretta da congrua motivazione”, contraddittoriamente la corte di merito non ha poi dato invero adeguatamente conto dei criteri posti a base del procedimento valutativo seguito per addivenire all’adottata liquidazione, omettendo in particolare qualsivoglia indicazione in ordine al parametro standard adottato, a come sia stato individuato e quali siano i relativi criteri ispiratori e le modalità di calcolo, all’incidenza al riguardo assegnata alla considerazione dei (soli) parametri “dell’età e della gravità della </w:t>
      </w:r>
      <w:proofErr w:type="spellStart"/>
      <w:r w:rsidRPr="00F85679">
        <w:rPr>
          <w:rFonts w:ascii="Arial" w:eastAsia="Times New Roman" w:hAnsi="Arial" w:cs="Arial"/>
          <w:color w:val="000000"/>
          <w:sz w:val="23"/>
          <w:szCs w:val="23"/>
          <w:lang w:eastAsia="it-IT"/>
        </w:rPr>
        <w:t>lesionealla</w:t>
      </w:r>
      <w:proofErr w:type="spellEnd"/>
      <w:r w:rsidRPr="00F85679">
        <w:rPr>
          <w:rFonts w:ascii="Arial" w:eastAsia="Times New Roman" w:hAnsi="Arial" w:cs="Arial"/>
          <w:color w:val="000000"/>
          <w:sz w:val="23"/>
          <w:szCs w:val="23"/>
          <w:lang w:eastAsia="it-IT"/>
        </w:rPr>
        <w:t xml:space="preserve"> integrità psico-fisica dell’attrice”, e in particolare al coefficiente di abbattimento in funzione dell’età e all’adottato criterio di variazione del risarcimento in funzione della gravità del danno (cfr. Cass., 13/8/2015, n. 16788), nonché alle ragioni della mancata considerazione di altri parametri ai fini del discostamento in diminuzione dal dato esibito dalle Tabelle di Milano.</w:t>
      </w:r>
      <w:r w:rsidRPr="00F85679">
        <w:rPr>
          <w:rFonts w:ascii="Arial" w:eastAsia="Times New Roman" w:hAnsi="Arial" w:cs="Arial"/>
          <w:color w:val="000000"/>
          <w:sz w:val="23"/>
          <w:szCs w:val="23"/>
          <w:lang w:eastAsia="it-IT"/>
        </w:rPr>
        <w:br/>
        <w:t xml:space="preserve">Un tanto al fine di consentire il controllo di relativa logicità, coerenza e congruità, e di evitare che si rivelasse come sostanzialmente arbitraria, non potendo al riguardo invero valorizzarsi le suindicate del tutto generiche </w:t>
      </w:r>
      <w:proofErr w:type="gramStart"/>
      <w:r w:rsidRPr="00F85679">
        <w:rPr>
          <w:rFonts w:ascii="Arial" w:eastAsia="Times New Roman" w:hAnsi="Arial" w:cs="Arial"/>
          <w:color w:val="000000"/>
          <w:sz w:val="23"/>
          <w:szCs w:val="23"/>
          <w:lang w:eastAsia="it-IT"/>
        </w:rPr>
        <w:t>ed</w:t>
      </w:r>
      <w:proofErr w:type="gramEnd"/>
      <w:r w:rsidRPr="00F85679">
        <w:rPr>
          <w:rFonts w:ascii="Arial" w:eastAsia="Times New Roman" w:hAnsi="Arial" w:cs="Arial"/>
          <w:color w:val="000000"/>
          <w:sz w:val="23"/>
          <w:szCs w:val="23"/>
          <w:lang w:eastAsia="it-IT"/>
        </w:rPr>
        <w:t xml:space="preserve"> apodittiche indicazioni.</w:t>
      </w:r>
      <w:r w:rsidRPr="00F85679">
        <w:rPr>
          <w:rFonts w:ascii="Arial" w:eastAsia="Times New Roman" w:hAnsi="Arial" w:cs="Arial"/>
          <w:color w:val="000000"/>
          <w:sz w:val="23"/>
          <w:szCs w:val="23"/>
          <w:lang w:eastAsia="it-IT"/>
        </w:rPr>
        <w:br/>
      </w:r>
      <w:r w:rsidRPr="00F85679">
        <w:rPr>
          <w:rFonts w:ascii="Arial" w:eastAsia="Times New Roman" w:hAnsi="Arial" w:cs="Arial"/>
          <w:color w:val="000000"/>
          <w:sz w:val="23"/>
          <w:szCs w:val="23"/>
          <w:lang w:eastAsia="it-IT"/>
        </w:rPr>
        <w:lastRenderedPageBreak/>
        <w:t xml:space="preserve">A fortiori in considerazione della circostanza che siffatto discostamento in diminuzione </w:t>
      </w:r>
      <w:proofErr w:type="gramStart"/>
      <w:r w:rsidRPr="00F85679">
        <w:rPr>
          <w:rFonts w:ascii="Arial" w:eastAsia="Times New Roman" w:hAnsi="Arial" w:cs="Arial"/>
          <w:color w:val="000000"/>
          <w:sz w:val="23"/>
          <w:szCs w:val="23"/>
          <w:lang w:eastAsia="it-IT"/>
        </w:rPr>
        <w:t>risulta</w:t>
      </w:r>
      <w:proofErr w:type="gramEnd"/>
      <w:r w:rsidRPr="00F85679">
        <w:rPr>
          <w:rFonts w:ascii="Arial" w:eastAsia="Times New Roman" w:hAnsi="Arial" w:cs="Arial"/>
          <w:color w:val="000000"/>
          <w:sz w:val="23"/>
          <w:szCs w:val="23"/>
          <w:lang w:eastAsia="it-IT"/>
        </w:rPr>
        <w:t xml:space="preserve"> operato con riferimento al dato esibito, come detto, da Tabelle diverse da quelle efficaci al momento dell’emissione dell’impugnata sentenza, essendosi al riguardo la corte di merito limitata ad affermare che “il Tribunale ha liquidato il danno già rivalutandolo alla data della sentenza e non applicando, correttamente, gli interessi, avendo la convenuta già saldato il debito prima del deposito della sentenza”, senza spiegare invero come sia stata dal giudice di prime cure determinata l’attualizzazione della somma a tale titolo liquidata, e le ragioni della ravvisata correttezza di </w:t>
      </w:r>
      <w:proofErr w:type="spellStart"/>
      <w:r w:rsidRPr="00F85679">
        <w:rPr>
          <w:rFonts w:ascii="Arial" w:eastAsia="Times New Roman" w:hAnsi="Arial" w:cs="Arial"/>
          <w:color w:val="000000"/>
          <w:sz w:val="23"/>
          <w:szCs w:val="23"/>
          <w:lang w:eastAsia="it-IT"/>
        </w:rPr>
        <w:t>talequantificazione</w:t>
      </w:r>
      <w:proofErr w:type="spellEnd"/>
      <w:r w:rsidRPr="00F85679">
        <w:rPr>
          <w:rFonts w:ascii="Arial" w:eastAsia="Times New Roman" w:hAnsi="Arial" w:cs="Arial"/>
          <w:color w:val="000000"/>
          <w:sz w:val="23"/>
          <w:szCs w:val="23"/>
          <w:lang w:eastAsia="it-IT"/>
        </w:rPr>
        <w:t>, poi confermata nell’impugnata sentenza.</w:t>
      </w:r>
      <w:r w:rsidRPr="00F85679">
        <w:rPr>
          <w:rFonts w:ascii="Arial" w:eastAsia="Times New Roman" w:hAnsi="Arial" w:cs="Arial"/>
          <w:color w:val="000000"/>
          <w:sz w:val="23"/>
          <w:szCs w:val="23"/>
          <w:lang w:eastAsia="it-IT"/>
        </w:rPr>
        <w:br/>
        <w:t xml:space="preserve">Della medesima, assorbiti gli altri motivi e ogni ulteriore e diversa questione, </w:t>
      </w:r>
      <w:proofErr w:type="gramStart"/>
      <w:r w:rsidRPr="00F85679">
        <w:rPr>
          <w:rFonts w:ascii="Arial" w:eastAsia="Times New Roman" w:hAnsi="Arial" w:cs="Arial"/>
          <w:color w:val="000000"/>
          <w:sz w:val="23"/>
          <w:szCs w:val="23"/>
          <w:lang w:eastAsia="it-IT"/>
        </w:rPr>
        <w:t>va</w:t>
      </w:r>
      <w:proofErr w:type="gramEnd"/>
      <w:r w:rsidRPr="00F85679">
        <w:rPr>
          <w:rFonts w:ascii="Arial" w:eastAsia="Times New Roman" w:hAnsi="Arial" w:cs="Arial"/>
          <w:color w:val="000000"/>
          <w:sz w:val="23"/>
          <w:szCs w:val="23"/>
          <w:lang w:eastAsia="it-IT"/>
        </w:rPr>
        <w:t xml:space="preserve"> pertanto disposta la cassazione in relazione, con rinvio alla Corte d’Appello di Brescia, che in diversa composizione procederà a nuovo esame, facendo dei suindicati disattesi principi applicazione.</w:t>
      </w:r>
      <w:r w:rsidRPr="00F85679">
        <w:rPr>
          <w:rFonts w:ascii="Arial" w:eastAsia="Times New Roman" w:hAnsi="Arial" w:cs="Arial"/>
          <w:color w:val="000000"/>
          <w:sz w:val="23"/>
          <w:szCs w:val="23"/>
          <w:lang w:eastAsia="it-IT"/>
        </w:rPr>
        <w:br/>
        <w:t xml:space="preserve">Il giudice del rinvio provvederà anche </w:t>
      </w:r>
      <w:proofErr w:type="gramStart"/>
      <w:r w:rsidRPr="00F85679">
        <w:rPr>
          <w:rFonts w:ascii="Arial" w:eastAsia="Times New Roman" w:hAnsi="Arial" w:cs="Arial"/>
          <w:color w:val="000000"/>
          <w:sz w:val="23"/>
          <w:szCs w:val="23"/>
          <w:lang w:eastAsia="it-IT"/>
        </w:rPr>
        <w:t>in ordine alle</w:t>
      </w:r>
      <w:proofErr w:type="gramEnd"/>
      <w:r w:rsidRPr="00F85679">
        <w:rPr>
          <w:rFonts w:ascii="Arial" w:eastAsia="Times New Roman" w:hAnsi="Arial" w:cs="Arial"/>
          <w:color w:val="000000"/>
          <w:sz w:val="23"/>
          <w:szCs w:val="23"/>
          <w:lang w:eastAsia="it-IT"/>
        </w:rPr>
        <w:t xml:space="preserve"> spese del giudizio di cassazione.</w:t>
      </w:r>
    </w:p>
    <w:p w:rsidR="00F85679" w:rsidRPr="00F85679" w:rsidRDefault="00F85679" w:rsidP="00F85679">
      <w:pPr>
        <w:spacing w:after="0" w:line="435" w:lineRule="atLeast"/>
        <w:jc w:val="center"/>
        <w:textAlignment w:val="baseline"/>
        <w:rPr>
          <w:rFonts w:ascii="Arial" w:eastAsia="Times New Roman" w:hAnsi="Arial" w:cs="Arial"/>
          <w:color w:val="000000"/>
          <w:sz w:val="23"/>
          <w:szCs w:val="23"/>
          <w:lang w:eastAsia="it-IT"/>
        </w:rPr>
      </w:pPr>
      <w:r w:rsidRPr="00F85679">
        <w:rPr>
          <w:rFonts w:ascii="Arial" w:eastAsia="Times New Roman" w:hAnsi="Arial" w:cs="Arial"/>
          <w:color w:val="000000"/>
          <w:sz w:val="23"/>
          <w:szCs w:val="23"/>
          <w:lang w:eastAsia="it-IT"/>
        </w:rPr>
        <w:t>P.Q.M.</w:t>
      </w:r>
    </w:p>
    <w:p w:rsidR="00F85679" w:rsidRPr="00F85679" w:rsidRDefault="00F85679" w:rsidP="00F85679">
      <w:pPr>
        <w:spacing w:after="0" w:line="435" w:lineRule="atLeast"/>
        <w:jc w:val="both"/>
        <w:textAlignment w:val="baseline"/>
        <w:rPr>
          <w:rFonts w:ascii="Arial" w:eastAsia="Times New Roman" w:hAnsi="Arial" w:cs="Arial"/>
          <w:color w:val="000000"/>
          <w:sz w:val="23"/>
          <w:szCs w:val="23"/>
          <w:lang w:eastAsia="it-IT"/>
        </w:rPr>
      </w:pPr>
      <w:r w:rsidRPr="00F85679">
        <w:rPr>
          <w:rFonts w:ascii="Arial" w:eastAsia="Times New Roman" w:hAnsi="Arial" w:cs="Arial"/>
          <w:color w:val="000000"/>
          <w:sz w:val="23"/>
          <w:szCs w:val="23"/>
          <w:lang w:eastAsia="it-IT"/>
        </w:rPr>
        <w:t xml:space="preserve">La Corte accoglie </w:t>
      </w:r>
      <w:proofErr w:type="spellStart"/>
      <w:proofErr w:type="gramStart"/>
      <w:r w:rsidRPr="00F85679">
        <w:rPr>
          <w:rFonts w:ascii="Arial" w:eastAsia="Times New Roman" w:hAnsi="Arial" w:cs="Arial"/>
          <w:color w:val="000000"/>
          <w:sz w:val="23"/>
          <w:szCs w:val="23"/>
          <w:lang w:eastAsia="it-IT"/>
        </w:rPr>
        <w:t>p.q.r.</w:t>
      </w:r>
      <w:proofErr w:type="spellEnd"/>
      <w:proofErr w:type="gramEnd"/>
      <w:r w:rsidRPr="00F85679">
        <w:rPr>
          <w:rFonts w:ascii="Arial" w:eastAsia="Times New Roman" w:hAnsi="Arial" w:cs="Arial"/>
          <w:color w:val="000000"/>
          <w:sz w:val="23"/>
          <w:szCs w:val="23"/>
          <w:lang w:eastAsia="it-IT"/>
        </w:rPr>
        <w:t xml:space="preserve"> il 4 e il 5 motivo di ricorso, assorbiti gli altri. Cassa in relazione l’impugnata sentenza e rinvia, anche per le spese del giudizio di cassazione, alla Corte d’Appello di Brescia, in diversa composizione.</w:t>
      </w:r>
    </w:p>
    <w:p w:rsidR="00F85679" w:rsidRDefault="00F85679" w:rsidP="00F85679">
      <w:pPr>
        <w:pStyle w:val="StandardWeb"/>
        <w:shd w:val="clear" w:color="auto" w:fill="FFFFFF"/>
        <w:spacing w:before="0" w:beforeAutospacing="0" w:after="0" w:afterAutospacing="0" w:line="435" w:lineRule="atLeast"/>
        <w:jc w:val="both"/>
        <w:textAlignment w:val="baseline"/>
        <w:rPr>
          <w:rFonts w:ascii="Arial" w:hAnsi="Arial" w:cs="Arial"/>
          <w:color w:val="000000"/>
          <w:sz w:val="27"/>
          <w:szCs w:val="27"/>
        </w:rPr>
      </w:pPr>
    </w:p>
    <w:p w:rsidR="00F85679" w:rsidRDefault="00F85679" w:rsidP="00F85679">
      <w:pPr>
        <w:pStyle w:val="StandardWeb"/>
        <w:shd w:val="clear" w:color="auto" w:fill="FFFFFF"/>
        <w:spacing w:before="0" w:beforeAutospacing="0" w:after="0" w:afterAutospacing="0" w:line="435" w:lineRule="atLeast"/>
        <w:jc w:val="both"/>
        <w:textAlignment w:val="baseline"/>
        <w:rPr>
          <w:rFonts w:ascii="Arial" w:hAnsi="Arial" w:cs="Arial"/>
          <w:color w:val="000000"/>
          <w:sz w:val="27"/>
          <w:szCs w:val="27"/>
        </w:rPr>
      </w:pPr>
      <w:r>
        <w:rPr>
          <w:rFonts w:ascii="Arial" w:hAnsi="Arial" w:cs="Arial"/>
          <w:color w:val="000000"/>
          <w:sz w:val="27"/>
          <w:szCs w:val="27"/>
        </w:rPr>
        <w:t xml:space="preserve">Dopo questa interessantissima lettura possiamo </w:t>
      </w:r>
      <w:proofErr w:type="gramStart"/>
      <w:r>
        <w:rPr>
          <w:rFonts w:ascii="Arial" w:hAnsi="Arial" w:cs="Arial"/>
          <w:color w:val="000000"/>
          <w:sz w:val="27"/>
          <w:szCs w:val="27"/>
        </w:rPr>
        <w:t>concludere</w:t>
      </w:r>
      <w:proofErr w:type="gramEnd"/>
      <w:r>
        <w:rPr>
          <w:rFonts w:ascii="Arial" w:hAnsi="Arial" w:cs="Arial"/>
          <w:color w:val="000000"/>
          <w:sz w:val="27"/>
          <w:szCs w:val="27"/>
        </w:rPr>
        <w:t xml:space="preserve">:  ora basta. Si cambia.  </w:t>
      </w:r>
      <w:proofErr w:type="gramStart"/>
      <w:r>
        <w:rPr>
          <w:rFonts w:ascii="Arial" w:hAnsi="Arial" w:cs="Arial"/>
          <w:color w:val="000000"/>
          <w:sz w:val="27"/>
          <w:szCs w:val="27"/>
        </w:rPr>
        <w:t>Avete</w:t>
      </w:r>
      <w:proofErr w:type="gramEnd"/>
      <w:r>
        <w:rPr>
          <w:rFonts w:ascii="Arial" w:hAnsi="Arial" w:cs="Arial"/>
          <w:color w:val="000000"/>
          <w:sz w:val="27"/>
          <w:szCs w:val="27"/>
        </w:rPr>
        <w:t xml:space="preserve"> fatto tanta fatica ad imparare e comprendere i nuovi meccanismi? Non importa. Si cambia lo stesso.</w:t>
      </w:r>
    </w:p>
    <w:p w:rsidR="00F85679" w:rsidRDefault="00F85679" w:rsidP="00F85679">
      <w:pPr>
        <w:pStyle w:val="StandardWeb"/>
        <w:shd w:val="clear" w:color="auto" w:fill="FFFFFF"/>
        <w:spacing w:before="0" w:beforeAutospacing="0" w:after="0" w:afterAutospacing="0" w:line="435" w:lineRule="atLeast"/>
        <w:jc w:val="both"/>
        <w:textAlignment w:val="baseline"/>
        <w:rPr>
          <w:rFonts w:ascii="Arial" w:hAnsi="Arial" w:cs="Arial"/>
          <w:color w:val="000000"/>
          <w:sz w:val="27"/>
          <w:szCs w:val="27"/>
        </w:rPr>
      </w:pPr>
      <w:r>
        <w:rPr>
          <w:rFonts w:ascii="Arial" w:hAnsi="Arial" w:cs="Arial"/>
          <w:color w:val="000000"/>
          <w:sz w:val="27"/>
          <w:szCs w:val="27"/>
        </w:rPr>
        <w:t xml:space="preserve">Così almeno sembrerebbe comprendere dal nuovo ddl concorrenza dove con l’art. </w:t>
      </w:r>
      <w:proofErr w:type="gramStart"/>
      <w:r>
        <w:rPr>
          <w:rFonts w:ascii="Arial" w:hAnsi="Arial" w:cs="Arial"/>
          <w:color w:val="000000"/>
          <w:sz w:val="27"/>
          <w:szCs w:val="27"/>
        </w:rPr>
        <w:t>8</w:t>
      </w:r>
      <w:proofErr w:type="gramEnd"/>
      <w:r>
        <w:rPr>
          <w:rFonts w:ascii="Arial" w:hAnsi="Arial" w:cs="Arial"/>
          <w:color w:val="000000"/>
          <w:sz w:val="27"/>
          <w:szCs w:val="27"/>
        </w:rPr>
        <w:t xml:space="preserve"> si forniscono i criteri omogenei in tutto il territorio nazionale riguardo ai risarcimento del danno non patrimoniale alle vittime da sinistri stradali.</w:t>
      </w:r>
    </w:p>
    <w:p w:rsidR="00F85679" w:rsidRDefault="00F85679" w:rsidP="00F85679">
      <w:pPr>
        <w:pStyle w:val="StandardWeb"/>
        <w:shd w:val="clear" w:color="auto" w:fill="FFFFFF"/>
        <w:spacing w:before="0" w:beforeAutospacing="0" w:after="0" w:afterAutospacing="0" w:line="435" w:lineRule="atLeast"/>
        <w:jc w:val="both"/>
        <w:textAlignment w:val="baseline"/>
        <w:rPr>
          <w:rFonts w:ascii="Arial" w:hAnsi="Arial" w:cs="Arial"/>
          <w:color w:val="000000"/>
          <w:sz w:val="27"/>
          <w:szCs w:val="27"/>
        </w:rPr>
      </w:pPr>
      <w:r>
        <w:rPr>
          <w:rFonts w:ascii="Arial" w:hAnsi="Arial" w:cs="Arial"/>
          <w:color w:val="000000"/>
          <w:sz w:val="27"/>
          <w:szCs w:val="27"/>
        </w:rPr>
        <w:t xml:space="preserve">Si prevede la predisposizione di </w:t>
      </w:r>
      <w:proofErr w:type="gramStart"/>
      <w:r>
        <w:rPr>
          <w:rFonts w:ascii="Arial" w:hAnsi="Arial" w:cs="Arial"/>
          <w:color w:val="000000"/>
          <w:sz w:val="27"/>
          <w:szCs w:val="27"/>
        </w:rPr>
        <w:t xml:space="preserve">una </w:t>
      </w:r>
      <w:proofErr w:type="gramEnd"/>
      <w:r>
        <w:rPr>
          <w:rFonts w:ascii="Arial" w:hAnsi="Arial" w:cs="Arial"/>
          <w:color w:val="000000"/>
          <w:sz w:val="27"/>
          <w:szCs w:val="27"/>
        </w:rPr>
        <w:t xml:space="preserve">unica tabella </w:t>
      </w:r>
      <w:r w:rsidR="004733B0">
        <w:rPr>
          <w:rFonts w:ascii="Arial" w:hAnsi="Arial" w:cs="Arial"/>
          <w:color w:val="000000"/>
          <w:sz w:val="27"/>
          <w:szCs w:val="27"/>
        </w:rPr>
        <w:t>per la valutazione del danno non patrimoniale i cui criteri saranno basati sulla giurisprudenza di legittimità.  Il giudice potrà si aumentare l’ammontare del risarcimento</w:t>
      </w:r>
      <w:proofErr w:type="gramStart"/>
      <w:r w:rsidR="004733B0">
        <w:rPr>
          <w:rFonts w:ascii="Arial" w:hAnsi="Arial" w:cs="Arial"/>
          <w:color w:val="000000"/>
          <w:sz w:val="27"/>
          <w:szCs w:val="27"/>
        </w:rPr>
        <w:t xml:space="preserve">  </w:t>
      </w:r>
      <w:proofErr w:type="gramEnd"/>
      <w:r w:rsidR="004733B0">
        <w:rPr>
          <w:rFonts w:ascii="Arial" w:hAnsi="Arial" w:cs="Arial"/>
          <w:color w:val="000000"/>
          <w:sz w:val="27"/>
          <w:szCs w:val="27"/>
        </w:rPr>
        <w:t>ma con motivato ed equo apprezzamento delle condizioni del danneggiato fino ad massimo del 30% per le macrolesioni e del 20% per le microlesioni.</w:t>
      </w:r>
    </w:p>
    <w:p w:rsidR="004733B0" w:rsidRPr="00F85679" w:rsidRDefault="004733B0" w:rsidP="00F85679">
      <w:pPr>
        <w:pStyle w:val="StandardWeb"/>
        <w:shd w:val="clear" w:color="auto" w:fill="FFFFFF"/>
        <w:spacing w:before="0" w:beforeAutospacing="0" w:after="0" w:afterAutospacing="0" w:line="435" w:lineRule="atLeast"/>
        <w:jc w:val="both"/>
        <w:textAlignment w:val="baseline"/>
        <w:rPr>
          <w:rFonts w:ascii="Arial" w:hAnsi="Arial" w:cs="Arial"/>
          <w:color w:val="000000"/>
          <w:sz w:val="27"/>
          <w:szCs w:val="27"/>
        </w:rPr>
      </w:pPr>
      <w:r>
        <w:rPr>
          <w:rFonts w:ascii="Arial" w:hAnsi="Arial" w:cs="Arial"/>
          <w:color w:val="000000"/>
          <w:sz w:val="27"/>
          <w:szCs w:val="27"/>
        </w:rPr>
        <w:t>Insomma dobbiamo pensare a creare una nuova Tabella di riferimento (l’ennesima).  Diamoci tutti da fare …</w:t>
      </w:r>
      <w:proofErr w:type="gramStart"/>
      <w:r>
        <w:rPr>
          <w:rFonts w:ascii="Arial" w:hAnsi="Arial" w:cs="Arial"/>
          <w:color w:val="000000"/>
          <w:sz w:val="27"/>
          <w:szCs w:val="27"/>
        </w:rPr>
        <w:t>..</w:t>
      </w:r>
      <w:bookmarkStart w:id="0" w:name="_GoBack"/>
      <w:bookmarkEnd w:id="0"/>
      <w:proofErr w:type="gramEnd"/>
    </w:p>
    <w:sectPr w:rsidR="004733B0" w:rsidRPr="00F85679" w:rsidSect="00832B2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hyphenationZone w:val="283"/>
  <w:characterSpacingControl w:val="doNotCompress"/>
  <w:compat/>
  <w:rsids>
    <w:rsidRoot w:val="00D513EA"/>
    <w:rsid w:val="004733B0"/>
    <w:rsid w:val="00832B20"/>
    <w:rsid w:val="00AA732B"/>
    <w:rsid w:val="00BB4012"/>
    <w:rsid w:val="00D513EA"/>
    <w:rsid w:val="00F66C64"/>
    <w:rsid w:val="00F85679"/>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2B2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D513E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Absatz-Standardschriftart"/>
    <w:rsid w:val="00D513EA"/>
  </w:style>
  <w:style w:type="character" w:styleId="Fett">
    <w:name w:val="Strong"/>
    <w:basedOn w:val="Absatz-Standardschriftart"/>
    <w:uiPriority w:val="22"/>
    <w:qFormat/>
    <w:rsid w:val="00D513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513E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D513EA"/>
  </w:style>
  <w:style w:type="character" w:styleId="Enfasigrassetto">
    <w:name w:val="Strong"/>
    <w:basedOn w:val="Carpredefinitoparagrafo"/>
    <w:uiPriority w:val="22"/>
    <w:qFormat/>
    <w:rsid w:val="00D513EA"/>
    <w:rPr>
      <w:b/>
      <w:bCs/>
    </w:rPr>
  </w:style>
</w:styles>
</file>

<file path=word/webSettings.xml><?xml version="1.0" encoding="utf-8"?>
<w:webSettings xmlns:r="http://schemas.openxmlformats.org/officeDocument/2006/relationships" xmlns:w="http://schemas.openxmlformats.org/wordprocessingml/2006/main">
  <w:divs>
    <w:div w:id="1219980005">
      <w:bodyDiv w:val="1"/>
      <w:marLeft w:val="0"/>
      <w:marRight w:val="0"/>
      <w:marTop w:val="0"/>
      <w:marBottom w:val="0"/>
      <w:divBdr>
        <w:top w:val="none" w:sz="0" w:space="0" w:color="auto"/>
        <w:left w:val="none" w:sz="0" w:space="0" w:color="auto"/>
        <w:bottom w:val="none" w:sz="0" w:space="0" w:color="auto"/>
        <w:right w:val="none" w:sz="0" w:space="0" w:color="auto"/>
      </w:divBdr>
    </w:div>
    <w:div w:id="146199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2938</Words>
  <Characters>18512</Characters>
  <Application>Microsoft Office Word</Application>
  <DocSecurity>0</DocSecurity>
  <Lines>154</Lines>
  <Paragraphs>42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Lucio</dc:creator>
  <cp:lastModifiedBy>User</cp:lastModifiedBy>
  <cp:revision>2</cp:revision>
  <dcterms:created xsi:type="dcterms:W3CDTF">2016-06-14T14:43:00Z</dcterms:created>
  <dcterms:modified xsi:type="dcterms:W3CDTF">2016-06-14T14:43:00Z</dcterms:modified>
</cp:coreProperties>
</file>